
<file path=[Content_Types].xml><?xml version="1.0" encoding="utf-8"?>
<Types xmlns="http://schemas.openxmlformats.org/package/2006/content-types">
  <Default Extension="fntdata" ContentType="application/x-fontdata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12.odttf" ContentType="application/vnd.openxmlformats-officedocument.obfuscatedFont"/>
  <Override PartName="/word/fonts/font13.odttf" ContentType="application/vnd.openxmlformats-officedocument.obfuscatedFont"/>
  <Override PartName="/word/fonts/font14.odttf" ContentType="application/vnd.openxmlformats-officedocument.obfuscatedFont"/>
  <Override PartName="/word/fonts/font15.odttf" ContentType="application/vnd.openxmlformats-officedocument.obfuscatedFont"/>
  <Override PartName="/word/fonts/font16.odttf" ContentType="application/vnd.openxmlformats-officedocument.obfuscatedFont"/>
  <Override PartName="/word/fonts/font17.odttf" ContentType="application/vnd.openxmlformats-officedocument.obfuscatedFont"/>
  <Override PartName="/word/fonts/font23.odttf" ContentType="application/vnd.openxmlformats-officedocument.obfuscatedFont"/>
  <Override PartName="/word/fonts/font18.odttf" ContentType="application/vnd.openxmlformats-officedocument.obfuscatedFont"/>
  <Override PartName="/word/fonts/font22.odttf" ContentType="application/vnd.openxmlformats-officedocument.obfuscatedFont"/>
  <Override PartName="/word/fonts/font19.odttf" ContentType="application/vnd.openxmlformats-officedocument.obfuscatedFont"/>
  <Override PartName="/word/fonts/font20.odttf" ContentType="application/vnd.openxmlformats-officedocument.obfuscatedFont"/>
  <Override PartName="/word/fonts/font21.odttf" ContentType="application/vnd.openxmlformats-officedocument.obfuscatedFont"/>
  <Override PartName="/word/fonts/font24.odttf" ContentType="application/vnd.openxmlformats-officedocument.obfuscatedFont"/>
  <Override PartName="/word/fonts/font25.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ustom.xml" ContentType="application/vnd.openxmlformats-officedocument.custom-properties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Normal"/>
        <w:jc w:val="right"/>
        <w:rPr>
          <w:sz w:val="20"/>
          <w:szCs w:val="20"/>
          <w:lang w:val="ru-RU"/>
        </w:rPr>
      </w:pPr>
      <w:r>
        <w:rPr>
          <w:sz w:val="20"/>
          <w:szCs w:val="20"/>
          <w:lang w:val="ru-RU"/>
        </w:rPr>
        <w:t>Образац 3Г</w:t>
      </w:r>
    </w:p>
    <w:p>
      <w:pPr>
        <w:pStyle w:val="Normal"/>
        <w:jc w:val="right"/>
        <w:rPr>
          <w:sz w:val="20"/>
          <w:szCs w:val="20"/>
          <w:lang w:val="ru-RU"/>
        </w:rPr>
      </w:pPr>
      <w:r>
        <w:rPr>
          <w:sz w:val="20"/>
          <w:szCs w:val="20"/>
          <w:lang w:val="ru-RU"/>
        </w:rPr>
      </w:r>
    </w:p>
    <w:p>
      <w:pPr>
        <w:pStyle w:val="Normal"/>
        <w:rPr>
          <w:b/>
          <w:sz w:val="22"/>
          <w:szCs w:val="22"/>
          <w:lang w:val="ru-RU"/>
        </w:rPr>
      </w:pPr>
      <w:r>
        <w:rPr>
          <w:b/>
          <w:lang w:val="ru-RU"/>
        </w:rPr>
      </w:r>
    </w:p>
    <w:p>
      <w:pPr>
        <w:pStyle w:val="Normal"/>
        <w:rPr>
          <w:b/>
          <w:sz w:val="22"/>
          <w:szCs w:val="22"/>
          <w:lang w:val="ru-RU"/>
        </w:rPr>
      </w:pPr>
      <w:r>
        <w:rPr>
          <w:b/>
          <w:lang w:val="ru-RU"/>
        </w:rPr>
      </w:r>
    </w:p>
    <w:p>
      <w:pPr>
        <w:pStyle w:val="Normal"/>
        <w:rPr>
          <w:b/>
          <w:sz w:val="22"/>
          <w:szCs w:val="22"/>
          <w:lang w:val="ru-RU"/>
        </w:rPr>
      </w:pPr>
      <w:r>
        <w:rPr>
          <w:b/>
          <w:lang w:val="ru-RU"/>
        </w:rPr>
      </w:r>
    </w:p>
    <w:p>
      <w:pPr>
        <w:pStyle w:val="Normal"/>
        <w:rPr>
          <w:b/>
          <w:sz w:val="22"/>
          <w:szCs w:val="22"/>
          <w:lang w:val="ru-RU"/>
        </w:rPr>
      </w:pPr>
      <w:r>
        <w:rPr>
          <w:b/>
          <w:lang w:val="ru-RU"/>
        </w:rPr>
      </w:r>
    </w:p>
    <w:p>
      <w:pPr>
        <w:pStyle w:val="Normal"/>
        <w:ind w:hanging="50" w:left="770"/>
        <w:jc w:val="center"/>
        <w:rPr>
          <w:b/>
          <w:sz w:val="20"/>
          <w:szCs w:val="20"/>
          <w:lang w:val="ru-RU"/>
        </w:rPr>
      </w:pPr>
      <w:r>
        <w:rPr>
          <w:b/>
          <w:sz w:val="20"/>
          <w:szCs w:val="20"/>
          <w:lang w:val="ru-RU"/>
        </w:rPr>
      </w:r>
    </w:p>
    <w:p>
      <w:pPr>
        <w:pStyle w:val="Normal"/>
        <w:ind w:hanging="50" w:left="770"/>
        <w:jc w:val="center"/>
        <w:rPr>
          <w:b/>
          <w:sz w:val="20"/>
          <w:szCs w:val="20"/>
          <w:lang w:val="ru-RU"/>
        </w:rPr>
      </w:pPr>
      <w:r>
        <w:rPr>
          <w:b/>
          <w:sz w:val="20"/>
          <w:szCs w:val="20"/>
          <w:lang w:val="ru-RU"/>
        </w:rPr>
        <w:t>С А Ж Е Т А К</w:t>
      </w:r>
    </w:p>
    <w:p>
      <w:pPr>
        <w:pStyle w:val="Normal"/>
        <w:ind w:hanging="43" w:left="763"/>
        <w:jc w:val="center"/>
        <w:rPr>
          <w:b/>
          <w:sz w:val="20"/>
          <w:szCs w:val="20"/>
          <w:lang w:val="ru-RU"/>
        </w:rPr>
      </w:pPr>
      <w:r>
        <w:rPr>
          <w:b/>
          <w:sz w:val="20"/>
          <w:szCs w:val="20"/>
          <w:lang w:val="ru-RU"/>
        </w:rPr>
        <w:t xml:space="preserve">РЕФЕРАТА КОМИСИЈЕ </w:t>
      </w:r>
      <w:r>
        <w:rPr>
          <w:b/>
          <w:sz w:val="20"/>
          <w:szCs w:val="20"/>
        </w:rPr>
        <w:t>O</w:t>
      </w:r>
      <w:r>
        <w:rPr>
          <w:b/>
          <w:sz w:val="20"/>
          <w:szCs w:val="20"/>
          <w:lang w:val="ru-RU"/>
        </w:rPr>
        <w:t xml:space="preserve"> ПРИЈАВЉЕНИМ КАНДИДАТИМА </w:t>
      </w:r>
    </w:p>
    <w:p>
      <w:pPr>
        <w:pStyle w:val="Normal"/>
        <w:ind w:hanging="43" w:left="763"/>
        <w:jc w:val="center"/>
        <w:rPr>
          <w:b/>
          <w:sz w:val="20"/>
          <w:szCs w:val="20"/>
          <w:lang w:val="ru-RU"/>
        </w:rPr>
      </w:pPr>
      <w:r>
        <w:rPr>
          <w:b/>
          <w:sz w:val="20"/>
          <w:szCs w:val="20"/>
          <w:lang w:val="ru-RU"/>
        </w:rPr>
        <w:t xml:space="preserve">ЗА ИЗБОР У ЗВАЊЕ </w:t>
      </w:r>
    </w:p>
    <w:p>
      <w:pPr>
        <w:pStyle w:val="Normal"/>
        <w:ind w:hanging="43" w:left="763"/>
        <w:jc w:val="center"/>
        <w:rPr>
          <w:b/>
          <w:sz w:val="20"/>
          <w:szCs w:val="20"/>
          <w:lang w:val="sl-SI"/>
        </w:rPr>
      </w:pPr>
      <w:r>
        <w:rPr>
          <w:b/>
          <w:sz w:val="20"/>
          <w:szCs w:val="20"/>
          <w:lang w:val="sl-SI"/>
        </w:rPr>
      </w:r>
    </w:p>
    <w:p>
      <w:pPr>
        <w:pStyle w:val="Normal"/>
        <w:ind w:hanging="43" w:left="763"/>
        <w:jc w:val="center"/>
        <w:rPr>
          <w:b/>
          <w:sz w:val="20"/>
          <w:szCs w:val="20"/>
          <w:lang w:val="sl-SI"/>
        </w:rPr>
      </w:pPr>
      <w:r>
        <w:rPr>
          <w:b/>
          <w:sz w:val="20"/>
          <w:szCs w:val="20"/>
          <w:lang w:val="sl-SI"/>
        </w:rPr>
      </w:r>
    </w:p>
    <w:p>
      <w:pPr>
        <w:pStyle w:val="Normal"/>
        <w:ind w:hanging="43" w:left="763"/>
        <w:jc w:val="center"/>
        <w:rPr>
          <w:b/>
          <w:sz w:val="20"/>
          <w:szCs w:val="20"/>
          <w:lang w:val="sl-SI"/>
        </w:rPr>
      </w:pPr>
      <w:r>
        <w:rPr>
          <w:b/>
          <w:sz w:val="20"/>
          <w:szCs w:val="20"/>
          <w:lang w:val="sl-SI"/>
        </w:rPr>
      </w:r>
    </w:p>
    <w:p>
      <w:pPr>
        <w:pStyle w:val="Normal"/>
        <w:ind w:hanging="43" w:left="763"/>
        <w:jc w:val="center"/>
        <w:rPr>
          <w:b/>
          <w:sz w:val="20"/>
          <w:szCs w:val="20"/>
          <w:lang w:val="sl-SI"/>
        </w:rPr>
      </w:pPr>
      <w:r>
        <w:rPr>
          <w:b/>
          <w:sz w:val="20"/>
          <w:szCs w:val="20"/>
          <w:lang w:val="sl-SI"/>
        </w:rPr>
      </w:r>
    </w:p>
    <w:p>
      <w:pPr>
        <w:pStyle w:val="Normal"/>
        <w:ind w:hanging="43" w:left="763"/>
        <w:jc w:val="center"/>
        <w:rPr>
          <w:b/>
          <w:sz w:val="20"/>
          <w:szCs w:val="20"/>
          <w:lang w:val="ru-RU"/>
        </w:rPr>
      </w:pPr>
      <w:r>
        <w:rPr>
          <w:b/>
          <w:sz w:val="20"/>
          <w:szCs w:val="20"/>
          <w:lang w:val="sl-SI"/>
        </w:rPr>
        <w:t xml:space="preserve">I - </w:t>
      </w:r>
      <w:r>
        <w:rPr>
          <w:b/>
          <w:sz w:val="20"/>
          <w:szCs w:val="20"/>
          <w:lang w:val="ru-RU"/>
        </w:rPr>
        <w:t>О КОНКУРСУ</w:t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hanging="50" w:left="770"/>
        <w:rPr>
          <w:sz w:val="20"/>
          <w:szCs w:val="20"/>
          <w:lang w:val="ru-RU"/>
        </w:rPr>
      </w:pPr>
      <w:r>
        <w:rPr>
          <w:sz w:val="20"/>
          <w:szCs w:val="20"/>
          <w:lang w:val="ru-RU"/>
        </w:rPr>
        <w:t xml:space="preserve">Назив факултета: </w:t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hanging="50" w:left="770"/>
        <w:rPr>
          <w:sz w:val="20"/>
          <w:szCs w:val="20"/>
          <w:lang w:val="ru-RU"/>
        </w:rPr>
      </w:pPr>
      <w:r>
        <w:rPr>
          <w:sz w:val="20"/>
          <w:szCs w:val="20"/>
          <w:lang w:val="ru-RU"/>
        </w:rPr>
        <w:t xml:space="preserve">Ужа научна, </w:t>
      </w:r>
      <w:r>
        <w:rPr>
          <w:sz w:val="20"/>
          <w:szCs w:val="20"/>
        </w:rPr>
        <w:t>o</w:t>
      </w:r>
      <w:r>
        <w:rPr>
          <w:sz w:val="20"/>
          <w:szCs w:val="20"/>
          <w:lang w:val="ru-RU"/>
        </w:rPr>
        <w:t xml:space="preserve">дносно уметничка област: </w:t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hanging="50" w:left="770"/>
        <w:rPr>
          <w:sz w:val="20"/>
          <w:szCs w:val="20"/>
          <w:lang w:val="ru-RU"/>
        </w:rPr>
      </w:pPr>
      <w:r>
        <w:rPr>
          <w:sz w:val="20"/>
          <w:szCs w:val="20"/>
          <w:lang w:val="ru-RU"/>
        </w:rPr>
        <w:t xml:space="preserve">Број кандидата који се бирају: </w:t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hanging="50" w:left="770"/>
        <w:rPr>
          <w:sz w:val="20"/>
          <w:szCs w:val="20"/>
          <w:lang w:val="ru-RU"/>
        </w:rPr>
      </w:pPr>
      <w:r>
        <w:rPr>
          <w:sz w:val="20"/>
          <w:szCs w:val="20"/>
          <w:lang w:val="ru-RU"/>
        </w:rPr>
        <w:t xml:space="preserve">Број пријављених кандидата: </w:t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hanging="50" w:left="770"/>
        <w:rPr>
          <w:sz w:val="20"/>
          <w:szCs w:val="20"/>
          <w:lang w:val="ru-RU"/>
        </w:rPr>
      </w:pPr>
      <w:r>
        <w:rPr>
          <w:sz w:val="20"/>
          <w:szCs w:val="20"/>
          <w:lang w:val="ru-RU"/>
        </w:rPr>
        <w:t>Имена пријављених кандидата:</w:t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hanging="50" w:left="770"/>
        <w:rPr>
          <w:sz w:val="20"/>
          <w:szCs w:val="20"/>
          <w:lang w:val="ru-RU"/>
        </w:rPr>
      </w:pPr>
      <w:r>
        <w:rPr>
          <w:sz w:val="20"/>
          <w:szCs w:val="20"/>
          <w:lang w:val="ru-RU"/>
        </w:rPr>
        <w:tab/>
        <w:t xml:space="preserve">1. </w:t>
      </w:r>
      <w:r>
        <w:rPr>
          <w:sz w:val="20"/>
          <w:szCs w:val="20"/>
        </w:rPr>
        <w:t>Јован Цвјетичанин</w:t>
      </w:r>
    </w:p>
    <w:p>
      <w:pPr>
        <w:pStyle w:val="Normal"/>
        <w:ind w:hanging="50" w:left="770"/>
        <w:jc w:val="center"/>
        <w:rPr>
          <w:b/>
          <w:sz w:val="20"/>
          <w:szCs w:val="20"/>
          <w:lang w:val="ru-RU"/>
        </w:rPr>
      </w:pPr>
      <w:r>
        <w:rPr>
          <w:b/>
          <w:sz w:val="20"/>
          <w:szCs w:val="20"/>
          <w:lang w:val="ru-RU"/>
        </w:rPr>
      </w:r>
    </w:p>
    <w:p>
      <w:pPr>
        <w:pStyle w:val="Normal"/>
        <w:ind w:hanging="50" w:left="770"/>
        <w:jc w:val="center"/>
        <w:rPr>
          <w:b/>
          <w:sz w:val="20"/>
          <w:szCs w:val="20"/>
          <w:lang w:val="ru-RU"/>
        </w:rPr>
      </w:pPr>
      <w:r>
        <w:rPr>
          <w:b/>
          <w:sz w:val="20"/>
          <w:szCs w:val="20"/>
          <w:lang w:val="ru-RU"/>
        </w:rPr>
      </w:r>
    </w:p>
    <w:p>
      <w:pPr>
        <w:pStyle w:val="Normal"/>
        <w:ind w:hanging="50" w:left="770"/>
        <w:jc w:val="center"/>
        <w:rPr>
          <w:b/>
          <w:sz w:val="20"/>
          <w:szCs w:val="20"/>
          <w:lang w:val="ru-RU"/>
        </w:rPr>
      </w:pPr>
      <w:r>
        <w:rPr>
          <w:b/>
          <w:sz w:val="20"/>
          <w:szCs w:val="20"/>
        </w:rPr>
        <w:t>II</w:t>
      </w:r>
      <w:r>
        <w:rPr>
          <w:b/>
          <w:sz w:val="20"/>
          <w:szCs w:val="20"/>
          <w:lang w:val="ru-RU"/>
        </w:rPr>
        <w:t xml:space="preserve"> - О КАНДИДАТИМА</w:t>
      </w:r>
    </w:p>
    <w:p>
      <w:pPr>
        <w:pStyle w:val="Normal"/>
        <w:ind w:hanging="50" w:left="770"/>
        <w:rPr>
          <w:b/>
          <w:sz w:val="20"/>
          <w:szCs w:val="20"/>
          <w:lang w:val="ru-RU"/>
        </w:rPr>
      </w:pPr>
      <w:r>
        <w:rPr>
          <w:b/>
          <w:sz w:val="20"/>
          <w:szCs w:val="20"/>
          <w:lang w:val="ru-RU"/>
        </w:rPr>
      </w:r>
    </w:p>
    <w:p>
      <w:pPr>
        <w:pStyle w:val="Normal"/>
        <w:ind w:hanging="50" w:left="770"/>
        <w:rPr>
          <w:b/>
          <w:sz w:val="22"/>
          <w:szCs w:val="22"/>
          <w:lang w:val="ru-RU"/>
        </w:rPr>
      </w:pPr>
      <w:r>
        <w:rPr>
          <w:b/>
          <w:lang w:val="ru-RU"/>
        </w:rPr>
        <w:t>1) - Основни биографски подаци</w:t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hanging="50" w:left="770"/>
        <w:rPr>
          <w:sz w:val="20"/>
          <w:szCs w:val="20"/>
          <w:lang w:val="ru-RU"/>
        </w:rPr>
      </w:pPr>
      <w:r>
        <w:rPr>
          <w:sz w:val="20"/>
          <w:szCs w:val="20"/>
          <w:lang w:val="ru-RU"/>
        </w:rPr>
        <w:t xml:space="preserve">- Име, средње име и презиме: </w:t>
      </w:r>
      <w:r>
        <w:rPr>
          <w:sz w:val="20"/>
          <w:szCs w:val="20"/>
        </w:rPr>
        <w:t>Јован</w:t>
      </w:r>
      <w:r>
        <w:rPr>
          <w:sz w:val="20"/>
          <w:szCs w:val="20"/>
          <w:lang w:val="ru-RU"/>
        </w:rPr>
        <w:t xml:space="preserve">, </w:t>
      </w:r>
      <w:r>
        <w:rPr>
          <w:sz w:val="20"/>
          <w:szCs w:val="20"/>
        </w:rPr>
        <w:t>Ранко</w:t>
      </w:r>
      <w:r>
        <w:rPr/>
        <w:t>,</w:t>
      </w:r>
      <w:r>
        <w:rPr>
          <w:sz w:val="20"/>
          <w:szCs w:val="20"/>
          <w:lang w:val="ru-RU"/>
        </w:rPr>
        <w:t xml:space="preserve"> </w:t>
      </w:r>
      <w:r>
        <w:rPr>
          <w:sz w:val="20"/>
          <w:szCs w:val="20"/>
        </w:rPr>
        <w:t>Цвјетичанин</w:t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hanging="50" w:left="770"/>
        <w:rPr>
          <w:sz w:val="20"/>
          <w:szCs w:val="20"/>
          <w:lang w:val="sr-RS"/>
        </w:rPr>
      </w:pPr>
      <w:r>
        <w:rPr>
          <w:sz w:val="20"/>
          <w:szCs w:val="20"/>
          <w:lang w:val="ru-RU"/>
        </w:rPr>
        <w:t xml:space="preserve">- Датум и место рођења: </w:t>
      </w:r>
      <w:r>
        <w:rPr>
          <w:sz w:val="20"/>
          <w:szCs w:val="20"/>
        </w:rPr>
        <w:t xml:space="preserve">22. </w:t>
      </w:r>
      <w:r>
        <w:rPr>
          <w:sz w:val="20"/>
          <w:szCs w:val="20"/>
          <w:lang w:val="sr-RS"/>
        </w:rPr>
        <w:t>септембар</w:t>
      </w:r>
      <w:r>
        <w:rPr>
          <w:sz w:val="16"/>
          <w:szCs w:val="16"/>
          <w:lang w:val="ru-RU"/>
        </w:rPr>
        <w:t xml:space="preserve"> </w:t>
      </w:r>
      <w:r>
        <w:rPr>
          <w:sz w:val="20"/>
          <w:szCs w:val="20"/>
          <w:lang w:val="ru-RU"/>
        </w:rPr>
        <w:t>199</w:t>
      </w:r>
      <w:r>
        <w:rPr>
          <w:sz w:val="20"/>
          <w:szCs w:val="20"/>
        </w:rPr>
        <w:t>3</w:t>
      </w:r>
      <w:r>
        <w:rPr>
          <w:sz w:val="20"/>
          <w:szCs w:val="20"/>
          <w:lang w:val="ru-RU"/>
        </w:rPr>
        <w:t xml:space="preserve">, Савски венац, </w:t>
      </w:r>
      <w:r>
        <w:rPr>
          <w:sz w:val="20"/>
          <w:szCs w:val="20"/>
          <w:lang w:val="sr-RS"/>
        </w:rPr>
        <w:t>Београд</w:t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hanging="50" w:left="770"/>
        <w:rPr>
          <w:sz w:val="20"/>
          <w:szCs w:val="20"/>
          <w:lang w:val="ru-RU"/>
        </w:rPr>
      </w:pPr>
      <w:r>
        <w:rPr>
          <w:sz w:val="20"/>
          <w:szCs w:val="20"/>
          <w:lang w:val="ru-RU"/>
        </w:rPr>
        <w:t>- Установа где је запослен: Филозофски факултет Универзитета у Београду</w:t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hanging="50" w:left="770"/>
        <w:rPr>
          <w:sz w:val="20"/>
          <w:szCs w:val="20"/>
          <w:lang w:val="ru-RU"/>
        </w:rPr>
      </w:pPr>
      <w:r>
        <w:rPr>
          <w:sz w:val="20"/>
          <w:szCs w:val="20"/>
          <w:lang w:val="ru-RU"/>
        </w:rPr>
        <w:t>- Звање/радно место: асистент</w:t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hanging="50" w:left="770"/>
        <w:rPr>
          <w:sz w:val="20"/>
          <w:szCs w:val="20"/>
          <w:lang w:val="ru-RU"/>
        </w:rPr>
      </w:pPr>
      <w:r>
        <w:rPr>
          <w:sz w:val="20"/>
          <w:szCs w:val="20"/>
          <w:lang w:val="ru-RU"/>
        </w:rPr>
        <w:t>- Научна, односно уметничка област: класичне науке</w:t>
      </w:r>
    </w:p>
    <w:p>
      <w:pPr>
        <w:pStyle w:val="Normal"/>
        <w:ind w:hanging="50" w:left="770"/>
        <w:rPr>
          <w:b/>
          <w:sz w:val="20"/>
          <w:szCs w:val="20"/>
          <w:lang w:val="ru-RU"/>
        </w:rPr>
      </w:pPr>
      <w:r>
        <w:rPr>
          <w:b/>
          <w:sz w:val="20"/>
          <w:szCs w:val="20"/>
          <w:lang w:val="ru-RU"/>
        </w:rPr>
      </w:r>
    </w:p>
    <w:p>
      <w:pPr>
        <w:pStyle w:val="Normal"/>
        <w:ind w:hanging="50" w:left="770"/>
        <w:rPr>
          <w:sz w:val="22"/>
          <w:szCs w:val="22"/>
          <w:lang w:val="ru-RU"/>
        </w:rPr>
      </w:pPr>
      <w:r>
        <w:rPr>
          <w:b/>
          <w:lang w:val="ru-RU"/>
        </w:rPr>
        <w:t>2) - Стручна биографија, дипломе и звања</w:t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hanging="50" w:left="770"/>
        <w:rPr>
          <w:i/>
          <w:sz w:val="20"/>
          <w:szCs w:val="20"/>
          <w:u w:val="single"/>
          <w:lang w:val="ru-RU"/>
        </w:rPr>
      </w:pPr>
      <w:r>
        <w:rPr>
          <w:i/>
          <w:sz w:val="20"/>
          <w:szCs w:val="20"/>
          <w:u w:val="single"/>
          <w:lang w:val="ru-RU"/>
        </w:rPr>
        <w:t>Основне студије:</w:t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hanging="50" w:left="770"/>
        <w:rPr>
          <w:sz w:val="20"/>
          <w:szCs w:val="20"/>
          <w:lang w:val="ru-RU"/>
        </w:rPr>
      </w:pPr>
      <w:r>
        <w:rPr>
          <w:sz w:val="20"/>
          <w:szCs w:val="20"/>
          <w:lang w:val="ru-RU"/>
        </w:rPr>
        <w:t>- Назив установе: Филозофски факултет, Одељење за класичне науке</w:t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hanging="50" w:left="770"/>
        <w:rPr>
          <w:sz w:val="20"/>
          <w:szCs w:val="20"/>
          <w:lang w:val="ru-RU"/>
        </w:rPr>
      </w:pPr>
      <w:r>
        <w:rPr>
          <w:sz w:val="20"/>
          <w:szCs w:val="20"/>
          <w:lang w:val="ru-RU"/>
        </w:rPr>
        <w:t xml:space="preserve">- Место и година завршетка: Београд </w:t>
      </w:r>
      <w:r>
        <w:rPr>
          <w:sz w:val="20"/>
          <w:szCs w:val="20"/>
        </w:rPr>
        <w:t>2016</w:t>
      </w:r>
      <w:r>
        <w:rPr>
          <w:sz w:val="20"/>
          <w:szCs w:val="20"/>
          <w:lang w:val="ru-RU"/>
        </w:rPr>
        <w:t>.</w:t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hanging="50" w:left="770"/>
        <w:rPr>
          <w:i/>
          <w:sz w:val="20"/>
          <w:szCs w:val="20"/>
          <w:u w:val="single"/>
          <w:lang w:val="ru-RU"/>
        </w:rPr>
      </w:pPr>
      <w:r>
        <w:rPr>
          <w:i/>
          <w:sz w:val="20"/>
          <w:szCs w:val="20"/>
          <w:u w:val="single"/>
          <w:lang w:val="ru-RU"/>
        </w:rPr>
        <w:t xml:space="preserve">Мастер:  </w:t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hanging="50" w:left="770"/>
        <w:rPr>
          <w:sz w:val="20"/>
          <w:szCs w:val="20"/>
          <w:lang w:val="ru-RU"/>
        </w:rPr>
      </w:pPr>
      <w:r>
        <w:rPr>
          <w:sz w:val="20"/>
          <w:szCs w:val="20"/>
          <w:lang w:val="ru-RU"/>
        </w:rPr>
        <w:t>- Назив установе: Филозофски факултет, Одељење за класичне науке</w:t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hanging="50" w:left="770"/>
        <w:rPr>
          <w:sz w:val="20"/>
          <w:szCs w:val="20"/>
          <w:lang w:val="ru-RU"/>
        </w:rPr>
      </w:pPr>
      <w:r>
        <w:rPr>
          <w:sz w:val="20"/>
          <w:szCs w:val="20"/>
          <w:lang w:val="ru-RU"/>
        </w:rPr>
        <w:t xml:space="preserve">- Место и година завршетка: </w:t>
      </w:r>
      <w:r>
        <w:rPr>
          <w:sz w:val="20"/>
          <w:szCs w:val="20"/>
        </w:rPr>
        <w:t>Београд,</w:t>
      </w:r>
      <w:r>
        <w:rPr>
          <w:sz w:val="20"/>
          <w:szCs w:val="20"/>
          <w:lang w:val="ru-RU"/>
        </w:rPr>
        <w:t xml:space="preserve"> 201</w:t>
      </w:r>
      <w:r>
        <w:rPr>
          <w:sz w:val="20"/>
          <w:szCs w:val="20"/>
        </w:rPr>
        <w:t>7</w:t>
      </w:r>
      <w:r>
        <w:rPr>
          <w:sz w:val="20"/>
          <w:szCs w:val="20"/>
          <w:lang w:val="ru-RU"/>
        </w:rPr>
        <w:t>.</w:t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hanging="50" w:left="770"/>
        <w:rPr>
          <w:sz w:val="20"/>
          <w:szCs w:val="20"/>
          <w:lang w:val="ru-RU"/>
        </w:rPr>
      </w:pPr>
      <w:r>
        <w:rPr>
          <w:sz w:val="20"/>
          <w:szCs w:val="20"/>
          <w:lang w:val="ru-RU"/>
        </w:rPr>
        <w:t>- Ужа научна, односно уметничка област: класичне</w:t>
      </w:r>
      <w:r>
        <w:rPr>
          <w:sz w:val="20"/>
          <w:szCs w:val="20"/>
        </w:rPr>
        <w:t xml:space="preserve"> науке</w:t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hanging="50" w:left="770"/>
        <w:rPr>
          <w:i/>
          <w:sz w:val="20"/>
          <w:szCs w:val="20"/>
          <w:u w:val="single"/>
          <w:lang w:val="ru-RU"/>
        </w:rPr>
      </w:pPr>
      <w:r>
        <w:rPr>
          <w:i/>
          <w:sz w:val="20"/>
          <w:szCs w:val="20"/>
          <w:u w:val="single"/>
          <w:lang w:val="ru-RU"/>
        </w:rPr>
        <w:t>Докторат:</w:t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hanging="50" w:left="770"/>
        <w:rPr>
          <w:sz w:val="20"/>
          <w:szCs w:val="20"/>
        </w:rPr>
      </w:pPr>
      <w:r>
        <w:rPr>
          <w:sz w:val="20"/>
          <w:szCs w:val="20"/>
          <w:lang w:val="ru-RU"/>
        </w:rPr>
        <w:t xml:space="preserve">- Назив установе: </w:t>
      </w:r>
      <w:r>
        <w:rPr>
          <w:sz w:val="20"/>
          <w:szCs w:val="20"/>
        </w:rPr>
        <w:t xml:space="preserve">Универзитет </w:t>
      </w:r>
      <w:r>
        <w:rPr>
          <w:sz w:val="20"/>
          <w:szCs w:val="20"/>
          <w:lang w:val="sr-RS"/>
        </w:rPr>
        <w:t xml:space="preserve">у </w:t>
      </w:r>
      <w:r>
        <w:rPr>
          <w:sz w:val="20"/>
          <w:szCs w:val="20"/>
        </w:rPr>
        <w:t>Вирџиниј</w:t>
      </w:r>
      <w:r>
        <w:rPr>
          <w:sz w:val="20"/>
          <w:szCs w:val="20"/>
          <w:lang w:val="sr-RS"/>
        </w:rPr>
        <w:t>и</w:t>
      </w:r>
      <w:r>
        <w:rPr>
          <w:sz w:val="20"/>
          <w:szCs w:val="20"/>
        </w:rPr>
        <w:t>, САД</w:t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hanging="50" w:left="770"/>
        <w:rPr>
          <w:sz w:val="20"/>
          <w:szCs w:val="20"/>
          <w:lang w:val="ru-RU"/>
        </w:rPr>
      </w:pPr>
      <w:r>
        <w:rPr>
          <w:sz w:val="20"/>
          <w:szCs w:val="20"/>
          <w:lang w:val="ru-RU"/>
        </w:rPr>
        <w:t xml:space="preserve">- Место и година одбране: Charlottesville, </w:t>
      </w:r>
      <w:r>
        <w:rPr>
          <w:sz w:val="20"/>
          <w:szCs w:val="20"/>
        </w:rPr>
        <w:t>VA,</w:t>
      </w:r>
      <w:r>
        <w:rPr>
          <w:sz w:val="20"/>
          <w:szCs w:val="20"/>
          <w:lang w:val="ru-RU"/>
        </w:rPr>
        <w:t xml:space="preserve"> 202</w:t>
      </w:r>
      <w:r>
        <w:rPr>
          <w:sz w:val="20"/>
          <w:szCs w:val="20"/>
        </w:rPr>
        <w:t>4</w:t>
      </w:r>
      <w:r>
        <w:rPr>
          <w:sz w:val="20"/>
          <w:szCs w:val="20"/>
          <w:lang w:val="ru-RU"/>
        </w:rPr>
        <w:t>.</w:t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hanging="50" w:left="770"/>
        <w:rPr>
          <w:sz w:val="20"/>
          <w:szCs w:val="20"/>
          <w:lang w:val="ru-RU"/>
        </w:rPr>
      </w:pPr>
      <w:r>
        <w:rPr>
          <w:sz w:val="20"/>
          <w:szCs w:val="20"/>
          <w:lang w:val="ru-RU"/>
        </w:rPr>
        <w:t>- Наслов дисертације:</w:t>
      </w:r>
      <w:r>
        <w:rPr>
          <w:sz w:val="20"/>
          <w:szCs w:val="20"/>
        </w:rPr>
        <w:t xml:space="preserve"> Religion and Propriety in Martial’s </w:t>
      </w:r>
      <w:r>
        <w:rPr>
          <w:i/>
          <w:iCs/>
          <w:sz w:val="20"/>
          <w:szCs w:val="20"/>
        </w:rPr>
        <w:t>Epigrams</w:t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hanging="50" w:left="770"/>
        <w:rPr>
          <w:sz w:val="20"/>
          <w:szCs w:val="20"/>
        </w:rPr>
      </w:pPr>
      <w:r>
        <w:rPr>
          <w:sz w:val="20"/>
          <w:szCs w:val="20"/>
          <w:lang w:val="ru-RU"/>
        </w:rPr>
        <w:t>- Ужа научна, односно уметничка област: класичн</w:t>
      </w:r>
      <w:r>
        <w:rPr>
          <w:sz w:val="20"/>
          <w:szCs w:val="20"/>
        </w:rPr>
        <w:t>е науке</w:t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hanging="50" w:left="770"/>
        <w:rPr>
          <w:i/>
          <w:sz w:val="20"/>
          <w:szCs w:val="20"/>
          <w:u w:val="single"/>
          <w:lang w:val="ru-RU"/>
        </w:rPr>
      </w:pPr>
      <w:r>
        <w:rPr>
          <w:i/>
          <w:sz w:val="20"/>
          <w:szCs w:val="20"/>
          <w:u w:val="single"/>
          <w:lang w:val="ru-RU"/>
        </w:rPr>
        <w:t>Досадашњи избори у наставна и научна звања:</w:t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hanging="50" w:left="770"/>
        <w:rPr>
          <w:sz w:val="20"/>
          <w:szCs w:val="20"/>
          <w:lang w:val="ru-RU"/>
        </w:rPr>
      </w:pPr>
      <w:r>
        <w:rPr>
          <w:sz w:val="20"/>
          <w:szCs w:val="20"/>
          <w:lang w:val="ru-RU"/>
        </w:rPr>
        <w:t>асистент на Одељењу за класичне науке Филозофског факултета у Београду од 202</w:t>
      </w:r>
      <w:r>
        <w:rPr>
          <w:sz w:val="20"/>
          <w:szCs w:val="20"/>
        </w:rPr>
        <w:t>4</w:t>
      </w:r>
      <w:r>
        <w:rPr>
          <w:sz w:val="20"/>
          <w:szCs w:val="20"/>
          <w:lang w:val="ru-RU"/>
        </w:rPr>
        <w:t>.</w:t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lang w:val="ru-RU"/>
        </w:rPr>
      </w:pPr>
      <w:r>
        <w:rPr>
          <w:lang w:val="ru-RU"/>
        </w:rPr>
      </w:r>
    </w:p>
    <w:p>
      <w:pPr>
        <w:pStyle w:val="Normal"/>
        <w:rPr>
          <w:b/>
          <w:lang w:val="ru-RU"/>
        </w:rPr>
      </w:pPr>
      <w:r>
        <w:rPr>
          <w:b/>
          <w:lang w:val="ru-RU"/>
        </w:rPr>
      </w:r>
    </w:p>
    <w:p>
      <w:pPr>
        <w:pStyle w:val="Normal"/>
        <w:rPr>
          <w:b/>
          <w:sz w:val="22"/>
          <w:szCs w:val="22"/>
          <w:lang w:val="ru-RU"/>
        </w:rPr>
      </w:pPr>
      <w:r>
        <w:rPr>
          <w:b/>
          <w:lang w:val="ru-RU"/>
        </w:rPr>
        <w:t>3) Испуњени услови за избор у звање доцента</w:t>
      </w:r>
    </w:p>
    <w:p>
      <w:pPr>
        <w:pStyle w:val="Normal"/>
        <w:rPr>
          <w:b/>
          <w:lang w:val="ru-RU"/>
        </w:rPr>
      </w:pPr>
      <w:r>
        <w:rPr>
          <w:b/>
          <w:lang w:val="ru-RU"/>
        </w:rPr>
      </w:r>
    </w:p>
    <w:p>
      <w:pPr>
        <w:pStyle w:val="Normal"/>
        <w:jc w:val="both"/>
        <w:rPr>
          <w:b/>
          <w:sz w:val="20"/>
          <w:szCs w:val="20"/>
        </w:rPr>
      </w:pPr>
      <w:r>
        <w:rPr>
          <w:b/>
          <w:sz w:val="20"/>
          <w:szCs w:val="20"/>
        </w:rPr>
        <w:t>ОБАВЕЗНИ УСЛОВИ:</w:t>
      </w:r>
    </w:p>
    <w:p>
      <w:pPr>
        <w:pStyle w:val="Normal"/>
        <w:rPr>
          <w:sz w:val="20"/>
          <w:szCs w:val="20"/>
        </w:rPr>
      </w:pPr>
      <w:r>
        <w:rPr>
          <w:sz w:val="20"/>
          <w:szCs w:val="20"/>
        </w:rPr>
      </w:r>
    </w:p>
    <w:tbl>
      <w:tblPr>
        <w:tblW w:w="8388" w:type="dxa"/>
        <w:jc w:val="left"/>
        <w:tblInd w:w="103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firstRow="1" w:noVBand="0" w:lastRow="0" w:firstColumn="1" w:lastColumn="0" w:noHBand="0" w:val="00a0"/>
      </w:tblPr>
      <w:tblGrid>
        <w:gridCol w:w="416"/>
        <w:gridCol w:w="5630"/>
        <w:gridCol w:w="2342"/>
      </w:tblGrid>
      <w:tr>
        <w:trPr/>
        <w:tc>
          <w:tcPr>
            <w:tcW w:w="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</w:p>
          <w:p>
            <w:pPr>
              <w:pStyle w:val="Normal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</w:p>
        </w:tc>
        <w:tc>
          <w:tcPr>
            <w:tcW w:w="5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jc w:val="both"/>
              <w:rPr>
                <w:i/>
                <w:sz w:val="20"/>
                <w:szCs w:val="20"/>
                <w:lang w:val="ru-RU"/>
              </w:rPr>
            </w:pPr>
            <w:r>
              <w:rPr>
                <w:i/>
                <w:sz w:val="20"/>
                <w:szCs w:val="20"/>
                <w:lang w:val="ru-RU"/>
              </w:rPr>
            </w:r>
          </w:p>
          <w:p>
            <w:pPr>
              <w:pStyle w:val="Normal"/>
              <w:jc w:val="both"/>
              <w:rPr>
                <w:i/>
                <w:sz w:val="20"/>
                <w:szCs w:val="20"/>
                <w:lang w:val="ru-RU"/>
              </w:rPr>
            </w:pPr>
            <w:r>
              <w:rPr>
                <w:i/>
                <w:sz w:val="20"/>
                <w:szCs w:val="20"/>
                <w:lang w:val="ru-RU"/>
              </w:rPr>
              <w:t>(заокружити испуњен услов за звање у које се бира)</w:t>
            </w:r>
          </w:p>
        </w:tc>
        <w:tc>
          <w:tcPr>
            <w:tcW w:w="23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b/>
                <w:sz w:val="20"/>
                <w:szCs w:val="20"/>
                <w:lang w:val="ru-RU"/>
              </w:rPr>
            </w:pPr>
            <w:r>
              <w:rPr>
                <w:b/>
                <w:sz w:val="20"/>
                <w:szCs w:val="20"/>
              </w:rPr>
              <w:t>o</w:t>
            </w:r>
            <w:r>
              <w:rPr>
                <w:b/>
                <w:sz w:val="20"/>
                <w:szCs w:val="20"/>
                <w:lang w:val="ru-RU"/>
              </w:rPr>
              <w:t>цен</w:t>
            </w:r>
            <w:r>
              <w:rPr>
                <w:b/>
                <w:sz w:val="20"/>
                <w:szCs w:val="20"/>
              </w:rPr>
              <w:t>a</w:t>
            </w:r>
            <w:r>
              <w:rPr>
                <w:b/>
                <w:sz w:val="20"/>
                <w:szCs w:val="20"/>
                <w:lang w:val="ru-RU"/>
              </w:rPr>
              <w:t xml:space="preserve"> / број година радног искуства</w:t>
            </w:r>
          </w:p>
        </w:tc>
      </w:tr>
      <w:tr>
        <w:trPr/>
        <w:tc>
          <w:tcPr>
            <w:tcW w:w="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5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jc w:val="both"/>
              <w:rPr>
                <w:sz w:val="20"/>
                <w:szCs w:val="20"/>
                <w:lang w:val="ru-RU"/>
              </w:rPr>
            </w:pPr>
            <w:r>
              <w:rPr>
                <w:rStyle w:val="Bodytext22"/>
                <w:rFonts w:cs="Calibri"/>
                <w:sz w:val="20"/>
                <w:szCs w:val="20"/>
                <w:lang w:val="ru-RU"/>
              </w:rPr>
              <w:t>Приступно предавање из области за коју се бира, позитивно оцењено од стране</w:t>
            </w:r>
            <w:r>
              <w:rPr>
                <w:sz w:val="20"/>
                <w:szCs w:val="20"/>
                <w:lang w:val="ru-RU"/>
              </w:rPr>
              <w:t xml:space="preserve"> </w:t>
            </w:r>
            <w:r>
              <w:rPr>
                <w:rStyle w:val="Bodytext22"/>
                <w:rFonts w:cs="Calibri"/>
                <w:sz w:val="20"/>
                <w:szCs w:val="20"/>
                <w:lang w:val="ru-RU"/>
              </w:rPr>
              <w:t>високошколске установе</w:t>
            </w:r>
          </w:p>
        </w:tc>
        <w:tc>
          <w:tcPr>
            <w:tcW w:w="23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sz w:val="20"/>
                <w:szCs w:val="20"/>
                <w:lang w:val="ru-RU"/>
              </w:rPr>
            </w:pPr>
            <w:r>
              <w:rPr>
                <w:sz w:val="20"/>
              </w:rPr>
              <w:t xml:space="preserve">»Поетика прве књиге Марцијалових </w:t>
            </w:r>
            <w:r>
              <w:rPr>
                <w:i/>
                <w:iCs/>
                <w:sz w:val="20"/>
              </w:rPr>
              <w:t>Епиграма</w:t>
            </w:r>
            <w:r>
              <w:rPr>
                <w:sz w:val="20"/>
              </w:rPr>
              <w:t>«, 8. априла 2026, оцена 5,0</w:t>
            </w:r>
          </w:p>
        </w:tc>
      </w:tr>
      <w:tr>
        <w:trPr/>
        <w:tc>
          <w:tcPr>
            <w:tcW w:w="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2</w:t>
            </w:r>
          </w:p>
        </w:tc>
        <w:tc>
          <w:tcPr>
            <w:tcW w:w="5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jc w:val="both"/>
              <w:rPr>
                <w:sz w:val="20"/>
                <w:szCs w:val="20"/>
                <w:lang w:val="ru-RU"/>
              </w:rPr>
            </w:pPr>
            <w:r>
              <w:rPr>
                <w:rStyle w:val="Bodytext22"/>
                <w:rFonts w:cs="Calibri"/>
                <w:sz w:val="20"/>
                <w:szCs w:val="20"/>
                <w:lang w:val="ru-RU"/>
              </w:rPr>
              <w:t>Позитивна оцена педагошког рада у студентским анкетама током целокупног  претходног изборног периода</w:t>
            </w:r>
          </w:p>
        </w:tc>
        <w:tc>
          <w:tcPr>
            <w:tcW w:w="23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5,00</w:t>
            </w:r>
          </w:p>
        </w:tc>
      </w:tr>
      <w:tr>
        <w:trPr/>
        <w:tc>
          <w:tcPr>
            <w:tcW w:w="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5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jc w:val="both"/>
              <w:rPr/>
            </w:pPr>
            <w:r>
              <w:rPr>
                <w:rStyle w:val="Bodytext22"/>
                <w:rFonts w:cs="Calibri"/>
                <w:sz w:val="20"/>
                <w:szCs w:val="20"/>
                <w:lang w:val="ru-RU"/>
              </w:rPr>
              <w:t>Искуство у педагошком раду са студентима</w:t>
            </w:r>
          </w:p>
        </w:tc>
        <w:tc>
          <w:tcPr>
            <w:tcW w:w="23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2018–</w:t>
            </w:r>
          </w:p>
        </w:tc>
      </w:tr>
    </w:tbl>
    <w:p>
      <w:pPr>
        <w:pStyle w:val="Normal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Normal"/>
        <w:rPr>
          <w:sz w:val="20"/>
          <w:szCs w:val="20"/>
          <w:lang w:val="ru-RU"/>
        </w:rPr>
      </w:pPr>
      <w:r>
        <w:rPr>
          <w:sz w:val="20"/>
          <w:szCs w:val="20"/>
          <w:lang w:val="ru-RU"/>
        </w:rPr>
      </w:r>
    </w:p>
    <w:tbl>
      <w:tblPr>
        <w:tblW w:w="8388" w:type="dxa"/>
        <w:jc w:val="left"/>
        <w:tblInd w:w="103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firstRow="1" w:noVBand="0" w:lastRow="0" w:firstColumn="1" w:lastColumn="0" w:noHBand="0" w:val="00a0"/>
      </w:tblPr>
      <w:tblGrid>
        <w:gridCol w:w="416"/>
        <w:gridCol w:w="5630"/>
        <w:gridCol w:w="2342"/>
      </w:tblGrid>
      <w:tr>
        <w:trPr/>
        <w:tc>
          <w:tcPr>
            <w:tcW w:w="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</w:r>
          </w:p>
          <w:p>
            <w:pPr>
              <w:pStyle w:val="Normal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</w:r>
          </w:p>
        </w:tc>
        <w:tc>
          <w:tcPr>
            <w:tcW w:w="5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jc w:val="both"/>
              <w:rPr>
                <w:i/>
                <w:sz w:val="20"/>
                <w:szCs w:val="20"/>
                <w:lang w:val="ru-RU"/>
              </w:rPr>
            </w:pPr>
            <w:r>
              <w:rPr>
                <w:i/>
                <w:sz w:val="20"/>
                <w:szCs w:val="20"/>
                <w:lang w:val="ru-RU"/>
              </w:rPr>
            </w:r>
          </w:p>
          <w:p>
            <w:pPr>
              <w:pStyle w:val="Normal"/>
              <w:jc w:val="both"/>
              <w:rPr>
                <w:i/>
                <w:sz w:val="20"/>
                <w:szCs w:val="20"/>
                <w:lang w:val="ru-RU"/>
              </w:rPr>
            </w:pPr>
            <w:r>
              <w:rPr>
                <w:i/>
                <w:sz w:val="20"/>
                <w:szCs w:val="20"/>
                <w:lang w:val="ru-RU"/>
              </w:rPr>
              <w:t xml:space="preserve"> </w:t>
            </w:r>
            <w:r>
              <w:rPr>
                <w:i/>
                <w:sz w:val="20"/>
                <w:szCs w:val="20"/>
                <w:lang w:val="ru-RU"/>
              </w:rPr>
              <w:t>(заокружити испуњен услов за звање у које се бира)</w:t>
            </w:r>
          </w:p>
        </w:tc>
        <w:tc>
          <w:tcPr>
            <w:tcW w:w="23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b/>
                <w:sz w:val="20"/>
                <w:szCs w:val="20"/>
                <w:lang w:val="ru-RU"/>
              </w:rPr>
            </w:pPr>
            <w:r>
              <w:rPr>
                <w:b/>
                <w:sz w:val="20"/>
                <w:szCs w:val="20"/>
                <w:lang w:val="ru-RU"/>
              </w:rPr>
              <w:t>Број менторства / учешћа у комисији и др.</w:t>
            </w:r>
          </w:p>
        </w:tc>
      </w:tr>
      <w:tr>
        <w:trPr/>
        <w:tc>
          <w:tcPr>
            <w:tcW w:w="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4</w:t>
            </w:r>
          </w:p>
        </w:tc>
        <w:tc>
          <w:tcPr>
            <w:tcW w:w="5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rStyle w:val="Bodytext22"/>
                <w:rFonts w:cs="Calibri"/>
                <w:sz w:val="20"/>
                <w:szCs w:val="20"/>
                <w:lang w:val="ru-RU"/>
              </w:rPr>
            </w:pPr>
            <w:r>
              <w:rPr>
                <w:rStyle w:val="Bodytext22"/>
                <w:rFonts w:cs="Calibri"/>
                <w:sz w:val="20"/>
                <w:szCs w:val="20"/>
                <w:lang w:val="ru-RU"/>
              </w:rPr>
              <w:t>Резултати у развоју научнонаставног подмлатка</w:t>
            </w:r>
          </w:p>
        </w:tc>
        <w:tc>
          <w:tcPr>
            <w:tcW w:w="23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lang w:val="ru-RU"/>
              </w:rPr>
            </w:pPr>
            <w:r>
              <w:rPr>
                <w:lang w:val="ru-RU"/>
              </w:rPr>
            </w:r>
          </w:p>
        </w:tc>
      </w:tr>
      <w:tr>
        <w:trPr/>
        <w:tc>
          <w:tcPr>
            <w:tcW w:w="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5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jc w:val="both"/>
              <w:rPr>
                <w:sz w:val="20"/>
                <w:szCs w:val="20"/>
                <w:lang w:val="ru-RU"/>
              </w:rPr>
            </w:pPr>
            <w:r>
              <w:rPr>
                <w:rStyle w:val="Bodytext22"/>
                <w:rFonts w:cs="Calibri"/>
                <w:sz w:val="20"/>
                <w:szCs w:val="20"/>
                <w:lang w:val="ru-RU"/>
              </w:rPr>
              <w:t>Учешће у комисији за одбрану три завршна рада на академским специјалистичким, односно мастер студијама</w:t>
            </w:r>
          </w:p>
        </w:tc>
        <w:tc>
          <w:tcPr>
            <w:tcW w:w="23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</w:r>
          </w:p>
        </w:tc>
      </w:tr>
      <w:tr>
        <w:trPr/>
        <w:tc>
          <w:tcPr>
            <w:tcW w:w="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5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jc w:val="both"/>
              <w:rPr>
                <w:rStyle w:val="Bodytext22"/>
                <w:rFonts w:cs="Calibri"/>
                <w:sz w:val="20"/>
                <w:szCs w:val="20"/>
                <w:lang w:val="ru-RU"/>
              </w:rPr>
            </w:pPr>
            <w:r>
              <w:rPr>
                <w:rStyle w:val="Bodytext22"/>
                <w:rFonts w:cs="Calibri"/>
                <w:sz w:val="20"/>
                <w:szCs w:val="20"/>
                <w:lang w:val="ru-RU"/>
              </w:rPr>
              <w:t>Менторство или чланство у две комисије за израду докторске дисертације</w:t>
            </w:r>
          </w:p>
        </w:tc>
        <w:tc>
          <w:tcPr>
            <w:tcW w:w="23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lang w:val="ru-RU"/>
              </w:rPr>
            </w:pPr>
            <w:r>
              <w:rPr>
                <w:lang w:val="ru-RU"/>
              </w:rPr>
            </w:r>
          </w:p>
        </w:tc>
      </w:tr>
    </w:tbl>
    <w:p>
      <w:pPr>
        <w:pStyle w:val="Normal"/>
        <w:rPr>
          <w:sz w:val="20"/>
          <w:szCs w:val="20"/>
          <w:lang w:val="ru-RU"/>
        </w:rPr>
      </w:pPr>
      <w:r>
        <w:rPr>
          <w:sz w:val="20"/>
          <w:szCs w:val="20"/>
          <w:lang w:val="ru-RU"/>
        </w:rPr>
      </w:r>
    </w:p>
    <w:p>
      <w:pPr>
        <w:pStyle w:val="Normal"/>
        <w:rPr>
          <w:sz w:val="20"/>
          <w:szCs w:val="20"/>
          <w:lang w:val="ru-RU"/>
        </w:rPr>
      </w:pPr>
      <w:r>
        <w:rPr>
          <w:sz w:val="20"/>
          <w:szCs w:val="20"/>
          <w:lang w:val="ru-RU"/>
        </w:rPr>
      </w:r>
    </w:p>
    <w:tbl>
      <w:tblPr>
        <w:tblW w:w="9576" w:type="dxa"/>
        <w:jc w:val="left"/>
        <w:tblInd w:w="103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firstRow="1" w:noVBand="0" w:lastRow="0" w:firstColumn="1" w:lastColumn="0" w:noHBand="0" w:val="00a0"/>
      </w:tblPr>
      <w:tblGrid>
        <w:gridCol w:w="414"/>
        <w:gridCol w:w="4464"/>
        <w:gridCol w:w="1306"/>
        <w:gridCol w:w="3392"/>
      </w:tblGrid>
      <w:tr>
        <w:trPr/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</w:r>
          </w:p>
          <w:p>
            <w:pPr>
              <w:pStyle w:val="Normal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</w:r>
          </w:p>
        </w:tc>
        <w:tc>
          <w:tcPr>
            <w:tcW w:w="4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jc w:val="both"/>
              <w:rPr>
                <w:i/>
                <w:sz w:val="20"/>
                <w:szCs w:val="20"/>
                <w:lang w:val="ru-RU"/>
              </w:rPr>
            </w:pPr>
            <w:r>
              <w:rPr>
                <w:i/>
                <w:sz w:val="20"/>
                <w:szCs w:val="20"/>
                <w:lang w:val="ru-RU"/>
              </w:rPr>
            </w:r>
          </w:p>
          <w:p>
            <w:pPr>
              <w:pStyle w:val="Normal"/>
              <w:jc w:val="both"/>
              <w:rPr>
                <w:i/>
                <w:sz w:val="20"/>
                <w:szCs w:val="20"/>
                <w:lang w:val="ru-RU"/>
              </w:rPr>
            </w:pPr>
            <w:r>
              <w:rPr>
                <w:i/>
                <w:sz w:val="20"/>
                <w:szCs w:val="20"/>
                <w:lang w:val="ru-RU"/>
              </w:rPr>
              <w:t>(заокружити испуњен услов за звање у које се бира)</w:t>
            </w:r>
          </w:p>
        </w:tc>
        <w:tc>
          <w:tcPr>
            <w:tcW w:w="13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b/>
                <w:sz w:val="20"/>
                <w:szCs w:val="20"/>
                <w:lang w:val="ru-RU"/>
              </w:rPr>
            </w:pPr>
            <w:r>
              <w:rPr>
                <w:b/>
                <w:sz w:val="20"/>
                <w:szCs w:val="20"/>
                <w:lang w:val="ru-RU"/>
              </w:rPr>
              <w:t>Број радова, сапштења, цитата и др</w:t>
            </w:r>
          </w:p>
        </w:tc>
        <w:tc>
          <w:tcPr>
            <w:tcW w:w="33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b/>
                <w:sz w:val="20"/>
                <w:szCs w:val="20"/>
                <w:lang w:val="ru-RU"/>
              </w:rPr>
            </w:pPr>
            <w:r>
              <w:rPr>
                <w:b/>
                <w:sz w:val="20"/>
                <w:szCs w:val="20"/>
                <w:lang w:val="ru-RU"/>
              </w:rPr>
              <w:t>Навести часописе, скупове, књиге и друго</w:t>
            </w:r>
          </w:p>
        </w:tc>
      </w:tr>
      <w:tr>
        <w:trPr/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7</w:t>
            </w:r>
          </w:p>
        </w:tc>
        <w:tc>
          <w:tcPr>
            <w:tcW w:w="4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jc w:val="both"/>
              <w:rPr>
                <w:b/>
                <w:bCs/>
                <w:sz w:val="20"/>
                <w:szCs w:val="20"/>
                <w:lang w:val="ru-RU"/>
              </w:rPr>
            </w:pPr>
            <w:r>
              <w:rPr>
                <w:rStyle w:val="Bodytext22"/>
                <w:rFonts w:cs="Calibri"/>
                <w:b/>
                <w:bCs/>
                <w:sz w:val="20"/>
                <w:szCs w:val="20"/>
                <w:lang w:val="ru-RU"/>
              </w:rPr>
              <w:t>Објављен један рад из категорије М20 или три рада из категорије М51 из научне области за коју се бира.</w:t>
            </w:r>
          </w:p>
        </w:tc>
        <w:tc>
          <w:tcPr>
            <w:tcW w:w="13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1</w:t>
            </w:r>
          </w:p>
        </w:tc>
        <w:tc>
          <w:tcPr>
            <w:tcW w:w="33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spacing w:before="0" w:after="12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Категорија М24</w:t>
            </w:r>
          </w:p>
          <w:p>
            <w:pPr>
              <w:pStyle w:val="Normal"/>
              <w:spacing w:before="0" w:after="12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Cvjetičanin, J. 2024. “Civil war Pollution in the Epodes and Odes of Horace.” Lucida Intervalla 53: 7-26.</w:t>
            </w:r>
          </w:p>
          <w:p>
            <w:pPr>
              <w:pStyle w:val="Normal"/>
              <w:spacing w:before="0" w:after="12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COBISS.SR-ID 159075593</w:t>
            </w:r>
          </w:p>
          <w:p>
            <w:pPr>
              <w:pStyle w:val="Normal"/>
              <w:spacing w:before="0" w:after="12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https://reff.f.bg.ac.rs/handle/123456789/8282</w:t>
            </w:r>
          </w:p>
        </w:tc>
      </w:tr>
      <w:tr>
        <w:trPr/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8</w:t>
            </w:r>
          </w:p>
        </w:tc>
        <w:tc>
          <w:tcPr>
            <w:tcW w:w="4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jc w:val="both"/>
              <w:rPr>
                <w:b/>
                <w:bCs/>
                <w:sz w:val="20"/>
                <w:szCs w:val="20"/>
                <w:lang w:val="ru-RU"/>
              </w:rPr>
            </w:pPr>
            <w:r>
              <w:rPr>
                <w:rStyle w:val="Bodytext22"/>
                <w:rFonts w:cs="Calibri"/>
                <w:b/>
                <w:bCs/>
                <w:sz w:val="20"/>
                <w:szCs w:val="20"/>
                <w:lang w:val="ru-RU"/>
              </w:rPr>
              <w:t>Саопштен један рад на научном скупу, објављен у целини (М31, М33, М61, М63)</w:t>
            </w:r>
          </w:p>
        </w:tc>
        <w:tc>
          <w:tcPr>
            <w:tcW w:w="13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1</w:t>
            </w:r>
          </w:p>
        </w:tc>
        <w:tc>
          <w:tcPr>
            <w:tcW w:w="33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spacing w:before="0" w:after="12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Категорија M63</w:t>
            </w:r>
          </w:p>
          <w:p>
            <w:pPr>
              <w:pStyle w:val="Normal"/>
              <w:spacing w:before="0" w:after="12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Cvjetičanin, J. 2025. “Mime and Martial’s Ideal Readers.” Phoenix 79.2: 316-333.</w:t>
            </w:r>
          </w:p>
          <w:p>
            <w:pPr>
              <w:pStyle w:val="Normal"/>
              <w:spacing w:before="0" w:after="12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DOI: 10.1353/phx.2025.a978864</w:t>
            </w:r>
          </w:p>
          <w:p>
            <w:pPr>
              <w:pStyle w:val="Normal"/>
              <w:spacing w:before="0" w:after="12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https://reff.f.bg.ac.rs/handle/123456789/8211</w:t>
            </w:r>
          </w:p>
        </w:tc>
      </w:tr>
      <w:tr>
        <w:trPr/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</w:t>
            </w:r>
          </w:p>
        </w:tc>
        <w:tc>
          <w:tcPr>
            <w:tcW w:w="4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jc w:val="both"/>
              <w:rPr>
                <w:rStyle w:val="Bodytext22"/>
                <w:rFonts w:cs="Calibri"/>
                <w:sz w:val="20"/>
                <w:szCs w:val="20"/>
                <w:lang w:val="ru-RU"/>
              </w:rPr>
            </w:pPr>
            <w:r>
              <w:rPr>
                <w:rStyle w:val="Bodytext22"/>
                <w:rFonts w:cs="Calibri"/>
                <w:sz w:val="20"/>
                <w:szCs w:val="20"/>
              </w:rPr>
              <w:t>Објављена два рада из категорије М20 или пет радова из категорије М51 у периоду од избора у претходно звање из научне облас</w:t>
            </w:r>
            <w:r>
              <w:rPr>
                <w:rStyle w:val="Bodytext22"/>
                <w:rFonts w:cs="Calibri"/>
                <w:sz w:val="20"/>
                <w:szCs w:val="20"/>
                <w:lang w:val="ru-RU"/>
              </w:rPr>
              <w:t>ти за коју се бира.</w:t>
            </w:r>
          </w:p>
          <w:p>
            <w:pPr>
              <w:pStyle w:val="Normal"/>
              <w:jc w:val="both"/>
              <w:rPr>
                <w:lang w:val="ru-RU"/>
              </w:rPr>
            </w:pPr>
            <w:r>
              <w:rPr>
                <w:lang w:val="ru-RU"/>
              </w:rPr>
            </w:r>
          </w:p>
        </w:tc>
        <w:tc>
          <w:tcPr>
            <w:tcW w:w="13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</w:r>
          </w:p>
        </w:tc>
        <w:tc>
          <w:tcPr>
            <w:tcW w:w="33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</w:r>
          </w:p>
        </w:tc>
      </w:tr>
      <w:tr>
        <w:trPr/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4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jc w:val="both"/>
              <w:rPr>
                <w:rStyle w:val="Bodytext22"/>
                <w:rFonts w:cs="Calibri"/>
                <w:sz w:val="20"/>
                <w:szCs w:val="20"/>
                <w:lang w:val="ru-RU"/>
              </w:rPr>
            </w:pPr>
            <w:r>
              <w:rPr>
                <w:rStyle w:val="Bodytext22"/>
                <w:rFonts w:cs="Calibri"/>
                <w:sz w:val="20"/>
                <w:szCs w:val="20"/>
                <w:lang w:val="ru-RU"/>
              </w:rPr>
              <w:t>Оригинално стручно остварење или руковођење или учешће у пројекту</w:t>
            </w:r>
          </w:p>
          <w:p>
            <w:pPr>
              <w:pStyle w:val="Normal"/>
              <w:jc w:val="both"/>
              <w:rPr>
                <w:lang w:val="ru-RU"/>
              </w:rPr>
            </w:pPr>
            <w:r>
              <w:rPr>
                <w:lang w:val="ru-RU"/>
              </w:rPr>
            </w:r>
          </w:p>
        </w:tc>
        <w:tc>
          <w:tcPr>
            <w:tcW w:w="13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</w:r>
          </w:p>
        </w:tc>
        <w:tc>
          <w:tcPr>
            <w:tcW w:w="33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</w:r>
          </w:p>
        </w:tc>
      </w:tr>
      <w:tr>
        <w:trPr/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11</w:t>
            </w:r>
          </w:p>
        </w:tc>
        <w:tc>
          <w:tcPr>
            <w:tcW w:w="4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jc w:val="both"/>
              <w:rPr>
                <w:sz w:val="20"/>
                <w:szCs w:val="20"/>
                <w:lang w:val="ru-RU"/>
              </w:rPr>
            </w:pPr>
            <w:r>
              <w:rPr>
                <w:rStyle w:val="Bodytext22"/>
                <w:rFonts w:cs="Calibri"/>
                <w:sz w:val="20"/>
                <w:szCs w:val="20"/>
                <w:lang w:val="ru-RU"/>
              </w:rPr>
              <w:t xml:space="preserve">Одобрен и објављен универзитетски уџбеник за предмет из студијског програма факултета, односно универзитета или научна монографија (са </w:t>
            </w:r>
            <w:r>
              <w:rPr>
                <w:rStyle w:val="Bodytext22"/>
                <w:rFonts w:cs="Calibri"/>
                <w:sz w:val="20"/>
                <w:szCs w:val="20"/>
              </w:rPr>
              <w:t>ISBN</w:t>
            </w:r>
            <w:r>
              <w:rPr>
                <w:rStyle w:val="Bodytext22"/>
                <w:rFonts w:cs="Calibri"/>
                <w:sz w:val="20"/>
                <w:szCs w:val="20"/>
                <w:lang w:val="ru-RU"/>
              </w:rPr>
              <w:t xml:space="preserve"> бројем) из научне области за коју се бира, у периоду од избора у претходно звање</w:t>
            </w:r>
          </w:p>
        </w:tc>
        <w:tc>
          <w:tcPr>
            <w:tcW w:w="13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</w:r>
          </w:p>
        </w:tc>
        <w:tc>
          <w:tcPr>
            <w:tcW w:w="33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</w:r>
          </w:p>
        </w:tc>
      </w:tr>
      <w:tr>
        <w:trPr/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  <w:tc>
          <w:tcPr>
            <w:tcW w:w="4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jc w:val="both"/>
              <w:rPr>
                <w:sz w:val="20"/>
                <w:szCs w:val="20"/>
                <w:lang w:val="ru-RU"/>
              </w:rPr>
            </w:pPr>
            <w:r>
              <w:rPr>
                <w:rStyle w:val="Bodytext22"/>
                <w:rFonts w:cs="Calibri"/>
                <w:sz w:val="20"/>
                <w:szCs w:val="20"/>
                <w:lang w:val="ru-RU"/>
              </w:rPr>
              <w:t>Један рад са међународног научног скупа објављен у целини категорије М31 или М33</w:t>
            </w:r>
          </w:p>
        </w:tc>
        <w:tc>
          <w:tcPr>
            <w:tcW w:w="13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</w:r>
          </w:p>
        </w:tc>
        <w:tc>
          <w:tcPr>
            <w:tcW w:w="33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spacing w:before="0" w:after="12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</w:p>
        </w:tc>
      </w:tr>
      <w:tr>
        <w:trPr/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</w:t>
            </w:r>
          </w:p>
        </w:tc>
        <w:tc>
          <w:tcPr>
            <w:tcW w:w="4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jc w:val="both"/>
              <w:rPr>
                <w:rStyle w:val="Bodytext22"/>
                <w:rFonts w:cs="Calibri"/>
                <w:sz w:val="20"/>
                <w:szCs w:val="20"/>
                <w:lang w:val="ru-RU"/>
              </w:rPr>
            </w:pPr>
            <w:r>
              <w:rPr>
                <w:rStyle w:val="Bodytext22"/>
                <w:rFonts w:cs="Calibri"/>
                <w:sz w:val="20"/>
                <w:szCs w:val="20"/>
                <w:lang w:val="ru-RU"/>
              </w:rPr>
              <w:t>Један рад са научног скупа националног значаја објављен у целини категорије М61 или М63.</w:t>
            </w:r>
          </w:p>
          <w:p>
            <w:pPr>
              <w:pStyle w:val="Normal"/>
              <w:jc w:val="both"/>
              <w:rPr>
                <w:lang w:val="ru-RU"/>
              </w:rPr>
            </w:pPr>
            <w:r>
              <w:rPr>
                <w:lang w:val="ru-RU"/>
              </w:rPr>
            </w:r>
          </w:p>
        </w:tc>
        <w:tc>
          <w:tcPr>
            <w:tcW w:w="13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</w:r>
          </w:p>
        </w:tc>
        <w:tc>
          <w:tcPr>
            <w:tcW w:w="33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</w:r>
          </w:p>
        </w:tc>
      </w:tr>
      <w:tr>
        <w:trPr/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</w:t>
            </w:r>
          </w:p>
        </w:tc>
        <w:tc>
          <w:tcPr>
            <w:tcW w:w="4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tabs>
                <w:tab w:val="clear" w:pos="720"/>
                <w:tab w:val="left" w:pos="-72" w:leader="none"/>
              </w:tabs>
              <w:jc w:val="both"/>
              <w:rPr>
                <w:rStyle w:val="Bodytext2Exact5"/>
                <w:rFonts w:eastAsia="Calibri"/>
                <w:i/>
                <w:sz w:val="20"/>
                <w:szCs w:val="20"/>
              </w:rPr>
            </w:pPr>
            <w:r>
              <w:rPr>
                <w:rStyle w:val="Bodytext22"/>
                <w:rFonts w:cs="Calibri"/>
                <w:sz w:val="20"/>
                <w:szCs w:val="20"/>
                <w:lang w:val="ru-RU"/>
              </w:rPr>
              <w:t xml:space="preserve">Објављена један рад из категорије М20 или четири рада из категорије М51 у периоду од последњег избора из научне области за коју се бира.  </w:t>
            </w:r>
            <w:r>
              <w:rPr>
                <w:rStyle w:val="Bodytext2Exact5"/>
                <w:rFonts w:eastAsia="Calibri"/>
                <w:i/>
                <w:sz w:val="20"/>
                <w:szCs w:val="20"/>
              </w:rPr>
              <w:t>(за поновни избор ванр. проф)</w:t>
            </w:r>
          </w:p>
          <w:p>
            <w:pPr>
              <w:pStyle w:val="Normal"/>
              <w:jc w:val="both"/>
              <w:rPr/>
            </w:pPr>
            <w:r>
              <w:rPr/>
            </w:r>
          </w:p>
        </w:tc>
        <w:tc>
          <w:tcPr>
            <w:tcW w:w="13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</w:p>
        </w:tc>
        <w:tc>
          <w:tcPr>
            <w:tcW w:w="33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</w:p>
        </w:tc>
      </w:tr>
      <w:tr>
        <w:trPr/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</w:p>
        </w:tc>
        <w:tc>
          <w:tcPr>
            <w:tcW w:w="4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tabs>
                <w:tab w:val="clear" w:pos="720"/>
                <w:tab w:val="left" w:pos="-72" w:leader="none"/>
              </w:tabs>
              <w:rPr>
                <w:rStyle w:val="Bodytext2Exact5"/>
                <w:rFonts w:cs="Calibri"/>
                <w:i/>
                <w:sz w:val="20"/>
                <w:szCs w:val="20"/>
              </w:rPr>
            </w:pPr>
            <w:r>
              <w:rPr>
                <w:rStyle w:val="Bodytext22"/>
                <w:rFonts w:cs="Calibri"/>
                <w:sz w:val="20"/>
                <w:szCs w:val="20"/>
                <w:lang w:val="ru-RU"/>
              </w:rPr>
              <w:t xml:space="preserve">Један рад са међународног научног скупа објављен у целини категорије М31 или М33.  </w:t>
            </w:r>
            <w:r>
              <w:rPr>
                <w:rStyle w:val="Bodytext2Exact5"/>
                <w:rFonts w:cs="Calibri"/>
                <w:i/>
                <w:sz w:val="20"/>
                <w:szCs w:val="20"/>
              </w:rPr>
              <w:t>(çà ïîíîâíè èçáîð âàíð. ïðîô)</w:t>
            </w:r>
          </w:p>
          <w:p>
            <w:pPr>
              <w:pStyle w:val="Normal"/>
              <w:jc w:val="both"/>
              <w:rPr/>
            </w:pPr>
            <w:r>
              <w:rPr/>
            </w:r>
          </w:p>
        </w:tc>
        <w:tc>
          <w:tcPr>
            <w:tcW w:w="13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</w:p>
        </w:tc>
        <w:tc>
          <w:tcPr>
            <w:tcW w:w="33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</w:p>
        </w:tc>
      </w:tr>
      <w:tr>
        <w:trPr/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</w:t>
            </w:r>
          </w:p>
        </w:tc>
        <w:tc>
          <w:tcPr>
            <w:tcW w:w="4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tabs>
                <w:tab w:val="clear" w:pos="720"/>
                <w:tab w:val="left" w:pos="-72" w:leader="none"/>
              </w:tabs>
              <w:jc w:val="both"/>
              <w:rPr>
                <w:rStyle w:val="Bodytext2Exact5"/>
                <w:rFonts w:eastAsia="Calibri"/>
                <w:i/>
                <w:sz w:val="20"/>
                <w:szCs w:val="20"/>
              </w:rPr>
            </w:pPr>
            <w:r>
              <w:rPr>
                <w:rStyle w:val="Bodytext22"/>
                <w:rFonts w:cs="Calibri"/>
                <w:sz w:val="20"/>
                <w:szCs w:val="20"/>
                <w:lang w:val="ru-RU"/>
              </w:rPr>
              <w:t xml:space="preserve">Један рад са научног скупа националног значаја објављен у целини категорије М61 или М63.  </w:t>
            </w:r>
            <w:r>
              <w:rPr>
                <w:rStyle w:val="Bodytext2Exact5"/>
                <w:rFonts w:eastAsia="Calibri"/>
                <w:i/>
                <w:sz w:val="20"/>
                <w:szCs w:val="20"/>
              </w:rPr>
              <w:t>(за поновни избор ванр. проф)</w:t>
            </w:r>
          </w:p>
          <w:p>
            <w:pPr>
              <w:pStyle w:val="Normal"/>
              <w:jc w:val="both"/>
              <w:rPr>
                <w:rStyle w:val="Bodytext2Exact5"/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</w:r>
          </w:p>
        </w:tc>
        <w:tc>
          <w:tcPr>
            <w:tcW w:w="13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rFonts w:ascii="Calibri" w:hAnsi="Calibri"/>
              </w:rPr>
            </w:pPr>
            <w:r>
              <w:rPr>
                <w:rFonts w:ascii="Calibri" w:hAnsi="Calibri"/>
              </w:rPr>
            </w:r>
          </w:p>
        </w:tc>
        <w:tc>
          <w:tcPr>
            <w:tcW w:w="33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</w:p>
        </w:tc>
      </w:tr>
      <w:tr>
        <w:trPr/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</w:t>
            </w:r>
          </w:p>
        </w:tc>
        <w:tc>
          <w:tcPr>
            <w:tcW w:w="4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jc w:val="both"/>
              <w:rPr>
                <w:rStyle w:val="Bodytext2Exact5"/>
                <w:rFonts w:cs="Calibri"/>
                <w:sz w:val="20"/>
                <w:szCs w:val="20"/>
                <w:lang w:val="ru-RU"/>
              </w:rPr>
            </w:pPr>
            <w:r>
              <w:rPr>
                <w:rStyle w:val="Bodytext22"/>
                <w:rFonts w:cs="Calibri"/>
                <w:sz w:val="20"/>
                <w:szCs w:val="20"/>
                <w:lang w:val="ru-RU"/>
              </w:rPr>
              <w:t xml:space="preserve">Објављен један рад из категорије М21, М22 или М23 од првог избора у звање </w:t>
            </w:r>
            <w:r>
              <w:rPr>
                <w:rStyle w:val="Bodytext2Exact5"/>
                <w:rFonts w:eastAsia="Calibri"/>
                <w:sz w:val="20"/>
                <w:szCs w:val="20"/>
              </w:rPr>
              <w:t>ванредног професора</w:t>
            </w:r>
            <w:r>
              <w:rPr>
                <w:rStyle w:val="Bodytext22"/>
                <w:rFonts w:cs="Calibri"/>
                <w:sz w:val="20"/>
                <w:szCs w:val="20"/>
                <w:lang w:val="ru-RU"/>
              </w:rPr>
              <w:t xml:space="preserve"> из научне области за коју се бира</w:t>
            </w:r>
          </w:p>
        </w:tc>
        <w:tc>
          <w:tcPr>
            <w:tcW w:w="13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rFonts w:ascii="Calibri" w:hAnsi="Calibri"/>
                <w:lang w:val="ru-RU"/>
              </w:rPr>
            </w:pPr>
            <w:r>
              <w:rPr>
                <w:rFonts w:ascii="Calibri" w:hAnsi="Calibri"/>
                <w:lang w:val="ru-RU"/>
              </w:rPr>
            </w:r>
          </w:p>
        </w:tc>
        <w:tc>
          <w:tcPr>
            <w:tcW w:w="33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</w:r>
          </w:p>
        </w:tc>
      </w:tr>
      <w:tr>
        <w:trPr/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</w:t>
            </w:r>
          </w:p>
        </w:tc>
        <w:tc>
          <w:tcPr>
            <w:tcW w:w="4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jc w:val="both"/>
              <w:rPr>
                <w:rStyle w:val="Bodytext2Exact5"/>
                <w:rFonts w:cs="Calibri"/>
                <w:sz w:val="20"/>
                <w:szCs w:val="20"/>
                <w:lang w:val="ru-RU"/>
              </w:rPr>
            </w:pPr>
            <w:r>
              <w:rPr>
                <w:rStyle w:val="Bodytext22"/>
                <w:rFonts w:cs="Calibri"/>
                <w:sz w:val="20"/>
                <w:szCs w:val="20"/>
                <w:lang w:val="ru-RU"/>
              </w:rPr>
              <w:t xml:space="preserve">Објављен један рад из категорије М24 од првог избора у звање </w:t>
            </w:r>
            <w:r>
              <w:rPr>
                <w:rStyle w:val="Bodytext2Exact5"/>
                <w:rFonts w:eastAsia="Calibri"/>
                <w:sz w:val="20"/>
                <w:szCs w:val="20"/>
              </w:rPr>
              <w:t>ванредног професора</w:t>
            </w:r>
            <w:r>
              <w:rPr>
                <w:rStyle w:val="Bodytext22"/>
                <w:rFonts w:cs="Calibri"/>
                <w:sz w:val="20"/>
                <w:szCs w:val="20"/>
                <w:lang w:val="ru-RU"/>
              </w:rPr>
              <w:t xml:space="preserve"> из научне области за коју се бира. Додатно испуњен услов из категорије М21, М22 или М23 може, један за један, да замени услов из категорије М24 или М51</w:t>
            </w:r>
          </w:p>
        </w:tc>
        <w:tc>
          <w:tcPr>
            <w:tcW w:w="13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rFonts w:ascii="Calibri" w:hAnsi="Calibri"/>
                <w:lang w:val="ru-RU"/>
              </w:rPr>
            </w:pPr>
            <w:r>
              <w:rPr>
                <w:rFonts w:ascii="Calibri" w:hAnsi="Calibri"/>
                <w:lang w:val="ru-RU"/>
              </w:rPr>
            </w:r>
          </w:p>
        </w:tc>
        <w:tc>
          <w:tcPr>
            <w:tcW w:w="33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</w:r>
          </w:p>
        </w:tc>
      </w:tr>
      <w:tr>
        <w:trPr/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19</w:t>
            </w:r>
          </w:p>
        </w:tc>
        <w:tc>
          <w:tcPr>
            <w:tcW w:w="4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jc w:val="both"/>
              <w:rPr>
                <w:rStyle w:val="Bodytext22"/>
                <w:rFonts w:cs="Calibri"/>
                <w:sz w:val="20"/>
                <w:szCs w:val="20"/>
                <w:lang w:val="ru-RU"/>
              </w:rPr>
            </w:pPr>
            <w:r>
              <w:rPr>
                <w:rStyle w:val="Bodytext22"/>
                <w:rFonts w:cs="Calibri"/>
                <w:sz w:val="20"/>
                <w:szCs w:val="20"/>
                <w:lang w:val="ru-RU"/>
              </w:rPr>
              <w:t>Објављених пет радова из категорије М51 у периоду од избора у претходно звање из научне области за коју се бира. Додатно испуњен услов из категорије М24 може, један за један, да замени услов из категорије М51</w:t>
            </w:r>
          </w:p>
        </w:tc>
        <w:tc>
          <w:tcPr>
            <w:tcW w:w="13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rFonts w:ascii="Calibri" w:hAnsi="Calibri"/>
                <w:lang w:val="ru-RU"/>
              </w:rPr>
            </w:pPr>
            <w:r>
              <w:rPr>
                <w:rFonts w:ascii="Calibri" w:hAnsi="Calibri"/>
                <w:lang w:val="ru-RU"/>
              </w:rPr>
            </w:r>
          </w:p>
        </w:tc>
        <w:tc>
          <w:tcPr>
            <w:tcW w:w="33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</w:r>
          </w:p>
        </w:tc>
      </w:tr>
      <w:tr>
        <w:trPr/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</w:t>
            </w:r>
          </w:p>
        </w:tc>
        <w:tc>
          <w:tcPr>
            <w:tcW w:w="4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tabs>
                <w:tab w:val="clear" w:pos="720"/>
                <w:tab w:val="left" w:pos="-2160" w:leader="none"/>
              </w:tabs>
              <w:rPr>
                <w:rStyle w:val="Bodytext22"/>
                <w:rFonts w:cs="Calibri"/>
                <w:sz w:val="20"/>
                <w:szCs w:val="20"/>
              </w:rPr>
            </w:pPr>
            <w:r>
              <w:rPr>
                <w:rStyle w:val="Bodytext22"/>
                <w:rFonts w:cs="Calibri"/>
                <w:sz w:val="20"/>
                <w:szCs w:val="20"/>
              </w:rPr>
              <w:t>Цитираност од 10 xeтepoцитата.</w:t>
            </w:r>
          </w:p>
          <w:p>
            <w:pPr>
              <w:pStyle w:val="Normal"/>
              <w:jc w:val="both"/>
              <w:rPr>
                <w:rStyle w:val="Bodytext22"/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</w:r>
          </w:p>
        </w:tc>
        <w:tc>
          <w:tcPr>
            <w:tcW w:w="13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rFonts w:ascii="Calibri" w:hAnsi="Calibri"/>
              </w:rPr>
            </w:pPr>
            <w:r>
              <w:rPr>
                <w:rFonts w:ascii="Calibri" w:hAnsi="Calibri"/>
              </w:rPr>
            </w:r>
          </w:p>
        </w:tc>
        <w:tc>
          <w:tcPr>
            <w:tcW w:w="33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</w:p>
        </w:tc>
      </w:tr>
      <w:tr>
        <w:trPr/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</w:t>
            </w:r>
          </w:p>
        </w:tc>
        <w:tc>
          <w:tcPr>
            <w:tcW w:w="4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tabs>
                <w:tab w:val="clear" w:pos="720"/>
                <w:tab w:val="left" w:pos="-2160" w:leader="none"/>
              </w:tabs>
              <w:rPr>
                <w:rStyle w:val="Bodytext22"/>
                <w:rFonts w:cs="Calibri"/>
                <w:sz w:val="20"/>
                <w:szCs w:val="20"/>
                <w:lang w:val="ru-RU"/>
              </w:rPr>
            </w:pPr>
            <w:r>
              <w:rPr>
                <w:rStyle w:val="Bodytext22"/>
                <w:rFonts w:cs="Calibri"/>
                <w:sz w:val="20"/>
                <w:szCs w:val="20"/>
                <w:lang w:val="ru-RU"/>
              </w:rPr>
              <w:t>Два рада са међународног научног скупа објављена у целини категорије М31 или М33</w:t>
            </w:r>
          </w:p>
          <w:p>
            <w:pPr>
              <w:pStyle w:val="Normal"/>
              <w:tabs>
                <w:tab w:val="clear" w:pos="720"/>
                <w:tab w:val="left" w:pos="-2160" w:leader="none"/>
              </w:tabs>
              <w:rPr>
                <w:rStyle w:val="Bodytext22"/>
                <w:rFonts w:cs="Calibri"/>
                <w:sz w:val="20"/>
                <w:szCs w:val="20"/>
                <w:lang w:val="ru-RU"/>
              </w:rPr>
            </w:pPr>
            <w:r>
              <w:rPr>
                <w:rFonts w:cs="Calibri"/>
                <w:sz w:val="20"/>
                <w:szCs w:val="20"/>
                <w:lang w:val="ru-RU"/>
              </w:rPr>
            </w:r>
          </w:p>
        </w:tc>
        <w:tc>
          <w:tcPr>
            <w:tcW w:w="13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rFonts w:ascii="Calibri" w:hAnsi="Calibri"/>
                <w:lang w:val="ru-RU"/>
              </w:rPr>
            </w:pPr>
            <w:r>
              <w:rPr>
                <w:rFonts w:ascii="Calibri" w:hAnsi="Calibri"/>
                <w:lang w:val="ru-RU"/>
              </w:rPr>
            </w:r>
          </w:p>
        </w:tc>
        <w:tc>
          <w:tcPr>
            <w:tcW w:w="33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spacing w:before="0" w:after="12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</w:p>
        </w:tc>
      </w:tr>
      <w:tr>
        <w:trPr/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</w:t>
            </w:r>
          </w:p>
        </w:tc>
        <w:tc>
          <w:tcPr>
            <w:tcW w:w="4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tabs>
                <w:tab w:val="clear" w:pos="720"/>
                <w:tab w:val="left" w:pos="-2160" w:leader="none"/>
              </w:tabs>
              <w:rPr>
                <w:rStyle w:val="Bodytext22"/>
                <w:rFonts w:cs="Calibri"/>
                <w:sz w:val="20"/>
                <w:szCs w:val="20"/>
                <w:lang w:val="ru-RU"/>
              </w:rPr>
            </w:pPr>
            <w:r>
              <w:rPr>
                <w:rStyle w:val="Bodytext22"/>
                <w:rFonts w:cs="Calibri"/>
                <w:sz w:val="20"/>
                <w:szCs w:val="20"/>
                <w:lang w:val="ru-RU"/>
              </w:rPr>
              <w:t>Два рада са научног скупа националног значаја објављена у целини категорије М61 или М63</w:t>
            </w:r>
          </w:p>
          <w:p>
            <w:pPr>
              <w:pStyle w:val="Normal"/>
              <w:tabs>
                <w:tab w:val="clear" w:pos="720"/>
                <w:tab w:val="left" w:pos="-2160" w:leader="none"/>
              </w:tabs>
              <w:rPr>
                <w:rStyle w:val="Bodytext22"/>
                <w:rFonts w:cs="Calibri"/>
                <w:sz w:val="20"/>
                <w:szCs w:val="20"/>
                <w:lang w:val="ru-RU"/>
              </w:rPr>
            </w:pPr>
            <w:r>
              <w:rPr>
                <w:rFonts w:cs="Calibri"/>
                <w:sz w:val="20"/>
                <w:szCs w:val="20"/>
                <w:lang w:val="ru-RU"/>
              </w:rPr>
            </w:r>
          </w:p>
        </w:tc>
        <w:tc>
          <w:tcPr>
            <w:tcW w:w="13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rFonts w:ascii="Calibri" w:hAnsi="Calibri"/>
                <w:lang w:val="ru-RU"/>
              </w:rPr>
            </w:pPr>
            <w:r>
              <w:rPr>
                <w:rFonts w:ascii="Calibri" w:hAnsi="Calibri"/>
                <w:lang w:val="ru-RU"/>
              </w:rPr>
            </w:r>
          </w:p>
        </w:tc>
        <w:tc>
          <w:tcPr>
            <w:tcW w:w="33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</w:r>
          </w:p>
        </w:tc>
      </w:tr>
      <w:tr>
        <w:trPr/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23</w:t>
            </w:r>
          </w:p>
        </w:tc>
        <w:tc>
          <w:tcPr>
            <w:tcW w:w="4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tabs>
                <w:tab w:val="clear" w:pos="720"/>
                <w:tab w:val="left" w:pos="-2160" w:leader="none"/>
              </w:tabs>
              <w:rPr>
                <w:rStyle w:val="Bodytext22"/>
                <w:rFonts w:cs="Calibri"/>
                <w:sz w:val="20"/>
                <w:szCs w:val="20"/>
                <w:lang w:val="ru-RU"/>
              </w:rPr>
            </w:pPr>
            <w:r>
              <w:rPr>
                <w:rStyle w:val="Bodytext22"/>
                <w:rFonts w:cs="Calibri"/>
                <w:sz w:val="20"/>
                <w:szCs w:val="20"/>
                <w:lang w:val="ru-RU"/>
              </w:rPr>
              <w:t xml:space="preserve">Одобрен и објављен универзитетски уџбеник за предмет из студијског програма факултета, односно универзитета или научна монографија (са </w:t>
            </w:r>
            <w:r>
              <w:rPr>
                <w:rStyle w:val="Bodytext22"/>
                <w:rFonts w:cs="Calibri"/>
                <w:sz w:val="20"/>
                <w:szCs w:val="20"/>
              </w:rPr>
              <w:t>ISBN</w:t>
            </w:r>
            <w:r>
              <w:rPr>
                <w:rStyle w:val="Bodytext22"/>
                <w:rFonts w:cs="Calibri"/>
                <w:sz w:val="20"/>
                <w:szCs w:val="20"/>
                <w:lang w:val="ru-RU"/>
              </w:rPr>
              <w:t xml:space="preserve"> бројем) из научне области за коју се бира, у периоду од избора у претходно звање</w:t>
            </w:r>
          </w:p>
        </w:tc>
        <w:tc>
          <w:tcPr>
            <w:tcW w:w="13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rFonts w:ascii="Calibri" w:hAnsi="Calibri"/>
                <w:lang w:val="ru-RU"/>
              </w:rPr>
            </w:pPr>
            <w:r>
              <w:rPr>
                <w:rFonts w:ascii="Calibri" w:hAnsi="Calibri"/>
                <w:lang w:val="ru-RU"/>
              </w:rPr>
            </w:r>
          </w:p>
        </w:tc>
        <w:tc>
          <w:tcPr>
            <w:tcW w:w="33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</w:r>
          </w:p>
        </w:tc>
      </w:tr>
      <w:tr>
        <w:trPr>
          <w:trHeight w:val="584" w:hRule="atLeast"/>
        </w:trPr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24</w:t>
            </w:r>
          </w:p>
        </w:tc>
        <w:tc>
          <w:tcPr>
            <w:tcW w:w="4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jc w:val="both"/>
              <w:rPr>
                <w:rStyle w:val="Bodytext2Exact5"/>
                <w:rFonts w:cs="Calibri"/>
                <w:sz w:val="20"/>
                <w:szCs w:val="20"/>
                <w:lang w:val="ru-RU"/>
              </w:rPr>
            </w:pPr>
            <w:r>
              <w:rPr>
                <w:rStyle w:val="Bodytext22"/>
                <w:rFonts w:cs="Calibri"/>
                <w:sz w:val="20"/>
                <w:szCs w:val="20"/>
                <w:lang w:val="ru-RU"/>
              </w:rPr>
              <w:t>Број радова као услов за менторство у вођењу докт. дисерт. – (стандард 9 Правилника о стандардима...)</w:t>
            </w:r>
          </w:p>
        </w:tc>
        <w:tc>
          <w:tcPr>
            <w:tcW w:w="13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rFonts w:ascii="Calibri" w:hAnsi="Calibri"/>
                <w:lang w:val="ru-RU"/>
              </w:rPr>
            </w:pPr>
            <w:r>
              <w:rPr>
                <w:rFonts w:ascii="Calibri" w:hAnsi="Calibri"/>
                <w:lang w:val="ru-RU"/>
              </w:rPr>
            </w:r>
          </w:p>
        </w:tc>
        <w:tc>
          <w:tcPr>
            <w:tcW w:w="33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</w:r>
          </w:p>
        </w:tc>
      </w:tr>
    </w:tbl>
    <w:p>
      <w:pPr>
        <w:pStyle w:val="Normal"/>
        <w:tabs>
          <w:tab w:val="left" w:pos="720" w:leader="none"/>
        </w:tabs>
        <w:jc w:val="both"/>
        <w:rPr>
          <w:b/>
          <w:bCs/>
          <w:sz w:val="20"/>
          <w:szCs w:val="20"/>
          <w:lang w:val="ru-RU"/>
        </w:rPr>
      </w:pPr>
      <w:r>
        <w:rPr>
          <w:b/>
          <w:bCs/>
          <w:sz w:val="20"/>
          <w:szCs w:val="20"/>
          <w:lang w:val="ru-RU"/>
        </w:rPr>
      </w:r>
    </w:p>
    <w:p>
      <w:pPr>
        <w:pStyle w:val="Normal"/>
        <w:tabs>
          <w:tab w:val="left" w:pos="720" w:leader="none"/>
        </w:tabs>
        <w:jc w:val="both"/>
        <w:rPr>
          <w:b/>
          <w:bCs/>
          <w:sz w:val="20"/>
          <w:szCs w:val="20"/>
          <w:lang w:val="ru-RU"/>
        </w:rPr>
      </w:pPr>
      <w:r>
        <w:rPr>
          <w:b/>
          <w:bCs/>
          <w:sz w:val="20"/>
          <w:szCs w:val="20"/>
          <w:lang w:val="ru-RU"/>
        </w:rPr>
      </w:r>
    </w:p>
    <w:p>
      <w:pPr>
        <w:pStyle w:val="Normal"/>
        <w:tabs>
          <w:tab w:val="left" w:pos="720" w:leader="none"/>
        </w:tabs>
        <w:jc w:val="both"/>
        <w:rPr>
          <w:b/>
          <w:bCs/>
          <w:sz w:val="20"/>
          <w:szCs w:val="20"/>
          <w:lang w:val="ru-RU"/>
        </w:rPr>
      </w:pPr>
      <w:r>
        <w:rPr>
          <w:b/>
          <w:bCs/>
          <w:sz w:val="20"/>
          <w:szCs w:val="20"/>
          <w:lang w:val="ru-RU"/>
        </w:rPr>
      </w:r>
    </w:p>
    <w:p>
      <w:pPr>
        <w:pStyle w:val="Normal"/>
        <w:tabs>
          <w:tab w:val="left" w:pos="720" w:leader="none"/>
        </w:tabs>
        <w:jc w:val="both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ИЗБОРНИ УСЛОВИ:</w:t>
      </w:r>
    </w:p>
    <w:p>
      <w:pPr>
        <w:pStyle w:val="Normal"/>
        <w:tabs>
          <w:tab w:val="left" w:pos="720" w:leader="none"/>
        </w:tabs>
        <w:jc w:val="both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</w:r>
    </w:p>
    <w:tbl>
      <w:tblPr>
        <w:tblW w:w="9287" w:type="dxa"/>
        <w:jc w:val="left"/>
        <w:tblInd w:w="103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firstRow="1" w:noVBand="0" w:lastRow="0" w:firstColumn="1" w:lastColumn="0" w:noHBand="0" w:val="00a0"/>
      </w:tblPr>
      <w:tblGrid>
        <w:gridCol w:w="2896"/>
        <w:gridCol w:w="6391"/>
      </w:tblGrid>
      <w:tr>
        <w:trPr/>
        <w:tc>
          <w:tcPr>
            <w:tcW w:w="28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tabs>
                <w:tab w:val="left" w:pos="720" w:leader="none"/>
              </w:tabs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 xml:space="preserve"> </w:t>
            </w:r>
            <w:r>
              <w:rPr>
                <w:bCs/>
                <w:i/>
                <w:sz w:val="20"/>
                <w:szCs w:val="20"/>
              </w:rPr>
              <w:t>(изабрати 2 од 3 услова)</w:t>
            </w:r>
          </w:p>
        </w:tc>
        <w:tc>
          <w:tcPr>
            <w:tcW w:w="63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Header"/>
              <w:tabs>
                <w:tab w:val="left" w:pos="0" w:leader="none"/>
                <w:tab w:val="left" w:pos="1800" w:leader="none"/>
              </w:tabs>
              <w:rPr>
                <w:rFonts w:ascii="Times New Roman" w:hAnsi="Times New Roman"/>
                <w:i/>
                <w:sz w:val="20"/>
              </w:rPr>
            </w:pPr>
            <w:r>
              <w:rPr>
                <w:rFonts w:ascii="Times New Roman" w:hAnsi="Times New Roman"/>
                <w:i/>
                <w:sz w:val="20"/>
              </w:rPr>
              <w:t>Заокружити ближе одреднице</w:t>
            </w:r>
          </w:p>
          <w:p>
            <w:pPr>
              <w:pStyle w:val="Header"/>
              <w:tabs>
                <w:tab w:val="left" w:pos="0" w:leader="none"/>
                <w:tab w:val="left" w:pos="1800" w:leader="none"/>
              </w:tabs>
              <w:rPr>
                <w:rFonts w:ascii="Times New Roman" w:hAnsi="Times New Roman"/>
                <w:i/>
                <w:sz w:val="20"/>
              </w:rPr>
            </w:pPr>
            <w:r>
              <w:rPr>
                <w:rFonts w:ascii="Times New Roman" w:hAnsi="Times New Roman"/>
                <w:i/>
                <w:sz w:val="20"/>
              </w:rPr>
              <w:t>(најмање пo једна из 2 изабрана услова)</w:t>
            </w:r>
          </w:p>
        </w:tc>
      </w:tr>
      <w:tr>
        <w:trPr/>
        <w:tc>
          <w:tcPr>
            <w:tcW w:w="28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Header"/>
              <w:tabs>
                <w:tab w:val="left" w:pos="0" w:leader="none"/>
                <w:tab w:val="left" w:pos="1800" w:leader="none"/>
              </w:tabs>
              <w:jc w:val="left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1. </w:t>
            </w:r>
            <w:r>
              <w:rPr>
                <w:rFonts w:ascii="Times New Roman" w:hAnsi="Times New Roman"/>
                <w:sz w:val="20"/>
                <w:lang w:val="en-US"/>
              </w:rPr>
              <w:t>Стручно-професионални допринос</w:t>
            </w:r>
          </w:p>
        </w:tc>
        <w:tc>
          <w:tcPr>
            <w:tcW w:w="63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spacing w:before="0" w:after="12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</w:p>
          <w:p>
            <w:pPr>
              <w:pStyle w:val="Header"/>
              <w:tabs>
                <w:tab w:val="left" w:pos="0" w:leader="none"/>
                <w:tab w:val="left" w:pos="1800" w:leader="none"/>
              </w:tabs>
              <w:jc w:val="left"/>
              <w:rPr>
                <w:rFonts w:ascii="Times New Roman" w:hAnsi="Times New Roman"/>
                <w:sz w:val="20"/>
                <w:lang w:val="ru-RU"/>
              </w:rPr>
            </w:pPr>
            <w:r>
              <w:rPr>
                <w:rFonts w:ascii="Times New Roman" w:hAnsi="Times New Roman"/>
                <w:sz w:val="20"/>
                <w:lang w:val="ru-RU"/>
              </w:rPr>
            </w:r>
          </w:p>
        </w:tc>
      </w:tr>
      <w:tr>
        <w:trPr/>
        <w:tc>
          <w:tcPr>
            <w:tcW w:w="28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Header"/>
              <w:tabs>
                <w:tab w:val="left" w:pos="0" w:leader="none"/>
                <w:tab w:val="left" w:pos="1800" w:leader="none"/>
              </w:tabs>
              <w:jc w:val="left"/>
              <w:rPr>
                <w:rFonts w:ascii="Times New Roman" w:hAnsi="Times New Roman"/>
                <w:b/>
                <w:bCs/>
                <w:sz w:val="20"/>
              </w:rPr>
            </w:pPr>
            <w:r>
              <w:rPr>
                <w:rFonts w:ascii="Times New Roman" w:hAnsi="Times New Roman"/>
                <w:b/>
                <w:bCs/>
                <w:sz w:val="20"/>
              </w:rPr>
              <w:t>2. Допринос академској и широј заједници</w:t>
            </w:r>
          </w:p>
        </w:tc>
        <w:tc>
          <w:tcPr>
            <w:tcW w:w="63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Default"/>
              <w:spacing w:before="0" w:after="120"/>
              <w:rPr>
                <w:b/>
                <w:bCs/>
                <w:sz w:val="20"/>
                <w:szCs w:val="20"/>
                <w:lang w:val="ru-RU"/>
              </w:rPr>
            </w:pPr>
            <w:r>
              <w:rPr>
                <w:b/>
                <w:bCs/>
                <w:sz w:val="20"/>
                <w:szCs w:val="20"/>
                <w:lang w:val="ru-RU"/>
              </w:rPr>
              <w:t>4. Учешће у наставним активностима ван студијских програма (перманентно образовање, курсеви у организацији професионалних удружења и институција, програми едукације наставника)</w:t>
            </w:r>
          </w:p>
          <w:p>
            <w:pPr>
              <w:pStyle w:val="Default"/>
              <w:spacing w:before="0" w:after="120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Учешће у Фестивалу науке 2024. године на штанду Одељења за класичне науке Филозофског факултета Универзитета у Београду</w:t>
            </w:r>
          </w:p>
        </w:tc>
      </w:tr>
      <w:tr>
        <w:trPr/>
        <w:tc>
          <w:tcPr>
            <w:tcW w:w="28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tabs>
                <w:tab w:val="left" w:pos="720" w:leader="none"/>
              </w:tabs>
              <w:rPr>
                <w:b/>
                <w:bCs/>
                <w:sz w:val="20"/>
                <w:szCs w:val="20"/>
                <w:lang w:val="ru-RU"/>
              </w:rPr>
            </w:pPr>
            <w:r>
              <w:rPr>
                <w:b/>
                <w:bCs/>
                <w:sz w:val="20"/>
                <w:szCs w:val="20"/>
                <w:lang w:val="ru-RU"/>
              </w:rPr>
              <w:t>3. Сарадња са другим високошколским, научноистраживачким установама, односно установама културе или уметности у земљи и</w:t>
            </w:r>
          </w:p>
          <w:p>
            <w:pPr>
              <w:pStyle w:val="Header"/>
              <w:tabs>
                <w:tab w:val="left" w:pos="0" w:leader="none"/>
                <w:tab w:val="left" w:pos="1800" w:leader="none"/>
              </w:tabs>
              <w:jc w:val="left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b/>
                <w:bCs/>
                <w:sz w:val="20"/>
                <w:lang w:val="en-US"/>
              </w:rPr>
              <w:t>иностранству</w:t>
            </w:r>
          </w:p>
        </w:tc>
        <w:tc>
          <w:tcPr>
            <w:tcW w:w="63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Header"/>
              <w:tabs>
                <w:tab w:val="left" w:pos="0" w:leader="none"/>
                <w:tab w:val="left" w:pos="1800" w:leader="none"/>
              </w:tabs>
              <w:spacing w:before="0" w:after="120"/>
              <w:jc w:val="left"/>
              <w:rPr>
                <w:rFonts w:ascii="Times New Roman" w:hAnsi="Times New Roman"/>
                <w:b/>
                <w:bCs/>
                <w:sz w:val="20"/>
                <w:lang w:val="sr-RS"/>
              </w:rPr>
            </w:pPr>
            <w:r>
              <w:rPr>
                <w:rFonts w:ascii="Times New Roman" w:hAnsi="Times New Roman"/>
                <w:b/>
                <w:bCs/>
                <w:sz w:val="20"/>
              </w:rPr>
              <w:t>3. Руковођење радом или чланство у органу или професионалном удружењу или организацији националног или међународног нивоа.</w:t>
            </w:r>
          </w:p>
          <w:p>
            <w:pPr>
              <w:pStyle w:val="Header"/>
              <w:tabs>
                <w:tab w:val="left" w:pos="0" w:leader="none"/>
                <w:tab w:val="left" w:pos="1800" w:leader="none"/>
              </w:tabs>
              <w:jc w:val="left"/>
              <w:rPr>
                <w:rFonts w:ascii="Times New Roman" w:hAnsi="Times New Roman"/>
                <w:sz w:val="20"/>
                <w:lang w:val="en-US"/>
              </w:rPr>
            </w:pPr>
            <w:r>
              <w:rPr>
                <w:rFonts w:ascii="Times New Roman" w:hAnsi="Times New Roman"/>
                <w:sz w:val="20"/>
                <w:lang w:val="sr-RS"/>
              </w:rPr>
              <w:t>Члан Асоцијације за класичне студије Србије (АКСС)</w:t>
            </w:r>
          </w:p>
        </w:tc>
      </w:tr>
    </w:tbl>
    <w:p>
      <w:pPr>
        <w:pStyle w:val="Normal"/>
        <w:rPr>
          <w:rFonts w:ascii="Calibri" w:hAnsi="Calibri"/>
          <w:b/>
          <w:sz w:val="20"/>
          <w:szCs w:val="20"/>
          <w:lang w:val="ru-RU"/>
        </w:rPr>
      </w:pPr>
      <w:r>
        <w:rPr>
          <w:rFonts w:ascii="Calibri" w:hAnsi="Calibri"/>
          <w:b/>
          <w:sz w:val="20"/>
          <w:szCs w:val="20"/>
          <w:lang w:val="ru-RU"/>
        </w:rPr>
      </w:r>
    </w:p>
    <w:p>
      <w:pPr>
        <w:pStyle w:val="Normal"/>
        <w:rPr>
          <w:b/>
          <w:i/>
          <w:sz w:val="20"/>
          <w:szCs w:val="20"/>
        </w:rPr>
      </w:pPr>
      <w:r>
        <w:rPr>
          <w:b/>
          <w:sz w:val="20"/>
          <w:szCs w:val="20"/>
          <w:lang w:val="ru-RU"/>
        </w:rPr>
        <w:t xml:space="preserve">*Напомена: </w:t>
      </w:r>
      <w:r>
        <w:rPr>
          <w:i/>
          <w:sz w:val="20"/>
          <w:szCs w:val="20"/>
          <w:lang w:val="ru-RU"/>
        </w:rPr>
        <w:t>На крају табеле кратко описати заокружену одредницу</w:t>
      </w:r>
    </w:p>
    <w:p>
      <w:pPr>
        <w:pStyle w:val="Normal"/>
        <w:rPr>
          <w:rFonts w:ascii="Calibri" w:hAnsi="Calibri"/>
          <w:sz w:val="20"/>
          <w:szCs w:val="20"/>
          <w:lang w:val="ru-RU"/>
        </w:rPr>
      </w:pPr>
      <w:r>
        <w:rPr>
          <w:rFonts w:ascii="Calibri" w:hAnsi="Calibri"/>
          <w:sz w:val="20"/>
          <w:szCs w:val="20"/>
          <w:lang w:val="ru-RU"/>
        </w:rPr>
      </w:r>
    </w:p>
    <w:p>
      <w:pPr>
        <w:pStyle w:val="Normal"/>
        <w:rPr>
          <w:rFonts w:ascii="Calibri" w:hAnsi="Calibri"/>
          <w:sz w:val="20"/>
          <w:szCs w:val="20"/>
          <w:lang w:val="ru-RU"/>
        </w:rPr>
      </w:pPr>
      <w:r>
        <w:rPr>
          <w:rFonts w:ascii="Calibri" w:hAnsi="Calibri"/>
          <w:sz w:val="20"/>
          <w:szCs w:val="20"/>
          <w:lang w:val="ru-RU"/>
        </w:rPr>
      </w:r>
    </w:p>
    <w:p>
      <w:pPr>
        <w:pStyle w:val="Normal"/>
        <w:rPr>
          <w:rFonts w:ascii="Calibri" w:hAnsi="Calibri"/>
          <w:sz w:val="20"/>
          <w:szCs w:val="20"/>
          <w:lang w:val="ru-RU"/>
        </w:rPr>
      </w:pPr>
      <w:r>
        <w:rPr>
          <w:rFonts w:ascii="Calibri" w:hAnsi="Calibri"/>
          <w:sz w:val="20"/>
          <w:szCs w:val="20"/>
          <w:lang w:val="ru-RU"/>
        </w:rPr>
      </w:r>
    </w:p>
    <w:p>
      <w:pPr>
        <w:pStyle w:val="Normal"/>
        <w:rPr>
          <w:rFonts w:ascii="Calibri" w:hAnsi="Calibri"/>
          <w:sz w:val="20"/>
          <w:szCs w:val="20"/>
          <w:lang w:val="ru-RU"/>
        </w:rPr>
      </w:pPr>
      <w:r>
        <w:rPr>
          <w:rFonts w:ascii="Calibri" w:hAnsi="Calibri"/>
          <w:sz w:val="20"/>
          <w:szCs w:val="20"/>
          <w:lang w:val="ru-RU"/>
        </w:rPr>
      </w:r>
    </w:p>
    <w:p>
      <w:pPr>
        <w:pStyle w:val="Normal"/>
        <w:rPr>
          <w:sz w:val="20"/>
          <w:szCs w:val="20"/>
          <w:lang w:val="ru-RU"/>
        </w:rPr>
      </w:pPr>
      <w:r>
        <w:rPr>
          <w:sz w:val="20"/>
          <w:szCs w:val="20"/>
          <w:lang w:val="ru-RU"/>
        </w:rPr>
      </w:r>
    </w:p>
    <w:p>
      <w:pPr>
        <w:pStyle w:val="Normal"/>
        <w:jc w:val="center"/>
        <w:rPr>
          <w:b/>
          <w:sz w:val="20"/>
          <w:szCs w:val="20"/>
          <w:lang w:val="ru-RU"/>
        </w:rPr>
      </w:pPr>
      <w:r>
        <w:rPr>
          <w:b/>
          <w:sz w:val="20"/>
          <w:szCs w:val="20"/>
          <w:lang w:val="ru-RU"/>
        </w:rPr>
      </w:r>
    </w:p>
    <w:p>
      <w:pPr>
        <w:pStyle w:val="Normal"/>
        <w:jc w:val="center"/>
        <w:rPr>
          <w:b/>
          <w:sz w:val="20"/>
          <w:szCs w:val="20"/>
          <w:lang w:val="ru-RU"/>
        </w:rPr>
      </w:pPr>
      <w:r>
        <w:rPr>
          <w:b/>
          <w:sz w:val="20"/>
          <w:szCs w:val="20"/>
        </w:rPr>
        <w:t>I</w:t>
      </w:r>
      <w:r>
        <w:rPr>
          <w:b/>
          <w:sz w:val="20"/>
          <w:szCs w:val="20"/>
          <w:lang w:val="sl-SI"/>
        </w:rPr>
        <w:t>I</w:t>
      </w:r>
      <w:r>
        <w:rPr>
          <w:b/>
          <w:sz w:val="20"/>
          <w:szCs w:val="20"/>
        </w:rPr>
        <w:t>I</w:t>
      </w:r>
      <w:r>
        <w:rPr>
          <w:b/>
          <w:sz w:val="20"/>
          <w:szCs w:val="20"/>
          <w:lang w:val="ru-RU"/>
        </w:rPr>
        <w:t xml:space="preserve"> - ЗАКЉУЧНО МИШЉЕЊЕ И ПРЕДЛОГ КОМИСИЈЕ</w:t>
      </w:r>
    </w:p>
    <w:p>
      <w:pPr>
        <w:pStyle w:val="Normal"/>
        <w:jc w:val="center"/>
        <w:rPr>
          <w:b/>
          <w:sz w:val="20"/>
          <w:szCs w:val="20"/>
          <w:lang w:val="ru-RU"/>
        </w:rPr>
      </w:pPr>
      <w:r>
        <w:rPr>
          <w:b/>
          <w:sz w:val="20"/>
          <w:szCs w:val="20"/>
          <w:lang w:val="ru-RU"/>
        </w:rPr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sz w:val="20"/>
          <w:szCs w:val="20"/>
          <w:lang w:val="ru-RU"/>
        </w:rPr>
      </w:pPr>
      <w:r>
        <w:rPr>
          <w:sz w:val="20"/>
          <w:szCs w:val="20"/>
          <w:lang w:val="ru-RU"/>
        </w:rPr>
        <w:t>Академска достигнућа др Јована Цвјетичанина и његов досадашњи рад на нашем факултету стављају у изглед да ће он умети адекватно да извршава послове и задатке који му предстоје, те да ће успешно отпочети своју наставничку каријеру.</w:t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sz w:val="20"/>
          <w:szCs w:val="20"/>
          <w:lang w:val="ru-RU"/>
        </w:rPr>
      </w:pPr>
      <w:r>
        <w:rPr>
          <w:sz w:val="20"/>
          <w:szCs w:val="20"/>
          <w:lang w:val="ru-RU"/>
        </w:rPr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sz w:val="20"/>
          <w:szCs w:val="20"/>
          <w:lang w:val="ru-RU"/>
        </w:rPr>
      </w:pPr>
      <w:r>
        <w:rPr>
          <w:sz w:val="20"/>
          <w:szCs w:val="20"/>
          <w:lang w:val="ru-RU"/>
        </w:rPr>
        <w:t xml:space="preserve">Зато предлажемо да </w:t>
      </w:r>
      <w:r>
        <w:rPr>
          <w:sz w:val="20"/>
          <w:szCs w:val="20"/>
        </w:rPr>
        <w:t xml:space="preserve">се </w:t>
      </w:r>
      <w:r>
        <w:rPr>
          <w:sz w:val="20"/>
          <w:szCs w:val="20"/>
          <w:lang w:val="ru-RU"/>
        </w:rPr>
        <w:t>др Јован Цвјетичанин изабере у звање доцента за ужу научну област класичне науке.</w:t>
      </w:r>
    </w:p>
    <w:p>
      <w:pPr>
        <w:pStyle w:val="Normal"/>
        <w:rPr>
          <w:sz w:val="20"/>
          <w:szCs w:val="20"/>
          <w:lang w:val="ru-RU"/>
        </w:rPr>
      </w:pPr>
      <w:r>
        <w:rPr>
          <w:sz w:val="20"/>
          <w:szCs w:val="20"/>
          <w:lang w:val="ru-RU"/>
        </w:rPr>
      </w:r>
    </w:p>
    <w:p>
      <w:pPr>
        <w:pStyle w:val="Normal"/>
        <w:rPr>
          <w:sz w:val="20"/>
          <w:szCs w:val="20"/>
          <w:lang w:val="ru-RU"/>
        </w:rPr>
      </w:pPr>
      <w:r>
        <w:rPr>
          <w:sz w:val="20"/>
          <w:szCs w:val="20"/>
          <w:lang w:val="ru-RU"/>
        </w:rPr>
      </w:r>
    </w:p>
    <w:p>
      <w:pPr>
        <w:pStyle w:val="Normal"/>
        <w:rPr>
          <w:lang w:val="ru-RU"/>
        </w:rPr>
      </w:pPr>
      <w:r>
        <w:rPr>
          <w:lang w:val="ru-RU"/>
        </w:rPr>
        <w:t xml:space="preserve">Београд, </w:t>
      </w:r>
      <w:r>
        <w:rPr/>
        <w:t>30</w:t>
      </w:r>
      <w:r>
        <w:rPr>
          <w:lang w:val="ru-RU"/>
        </w:rPr>
        <w:t xml:space="preserve">. </w:t>
      </w:r>
      <w:r>
        <w:rPr/>
        <w:t>априла 2026</w:t>
      </w:r>
      <w:r>
        <w:rPr>
          <w:lang w:val="ru-RU"/>
        </w:rPr>
        <w:t>.</w:t>
      </w:r>
    </w:p>
    <w:p>
      <w:pPr>
        <w:pStyle w:val="Normal"/>
        <w:rPr>
          <w:lang w:val="ru-RU"/>
        </w:rPr>
      </w:pPr>
      <w:r>
        <w:rPr>
          <w:lang w:val="ru-RU"/>
        </w:rPr>
      </w:r>
    </w:p>
    <w:p>
      <w:pPr>
        <w:pStyle w:val="Normal"/>
        <w:spacing w:lineRule="auto" w:line="276"/>
        <w:ind w:firstLine="720"/>
        <w:jc w:val="right"/>
        <w:rPr>
          <w:lang w:val="sr-Latn-RS"/>
        </w:rPr>
      </w:pPr>
      <w:r>
        <w:rPr>
          <w:lang w:val="sr-Latn-RS"/>
        </w:rPr>
      </w:r>
    </w:p>
    <w:p>
      <w:pPr>
        <w:pStyle w:val="Normal"/>
        <w:spacing w:lineRule="auto" w:line="276"/>
        <w:ind w:firstLine="720"/>
        <w:jc w:val="right"/>
        <w:rPr>
          <w:lang w:val="sr-Latn-RS"/>
        </w:rPr>
      </w:pPr>
      <w:r>
        <w:rPr>
          <w:lang w:val="sr-Latn-RS"/>
        </w:rPr>
        <w:tab/>
        <w:tab/>
        <w:tab/>
        <w:tab/>
        <w:tab/>
        <w:tab/>
        <w:tab/>
        <w:t>проф. др Војин Недељковић,</w:t>
        <w:br/>
        <w:tab/>
        <w:tab/>
        <w:tab/>
        <w:tab/>
        <w:tab/>
        <w:tab/>
        <w:tab/>
        <w:t>Филозофски факултет, Београд</w:t>
      </w:r>
    </w:p>
    <w:p>
      <w:pPr>
        <w:pStyle w:val="Normal"/>
        <w:spacing w:lineRule="auto" w:line="276"/>
        <w:ind w:firstLine="720"/>
        <w:jc w:val="right"/>
        <w:rPr>
          <w:lang w:val="sr-Latn-RS"/>
        </w:rPr>
      </w:pPr>
      <w:r>
        <w:rPr>
          <w:lang w:val="sr-Latn-RS"/>
        </w:rPr>
      </w:r>
    </w:p>
    <w:p>
      <w:pPr>
        <w:pStyle w:val="Normal"/>
        <w:spacing w:lineRule="auto" w:line="276"/>
        <w:ind w:firstLine="720"/>
        <w:jc w:val="right"/>
        <w:rPr>
          <w:lang w:val="sr-Latn-RS"/>
        </w:rPr>
      </w:pPr>
      <w:r>
        <w:rPr>
          <w:lang w:val="sr-Latn-RS"/>
        </w:rPr>
      </w:r>
    </w:p>
    <w:p>
      <w:pPr>
        <w:pStyle w:val="Normal"/>
        <w:spacing w:lineRule="auto" w:line="276"/>
        <w:ind w:firstLine="720"/>
        <w:jc w:val="right"/>
        <w:rPr>
          <w:lang w:val="sr-Latn-RS"/>
        </w:rPr>
      </w:pPr>
      <w:r>
        <w:rPr>
          <w:lang w:val="sr-Latn-RS"/>
        </w:rPr>
        <w:tab/>
        <w:tab/>
        <w:tab/>
        <w:tab/>
        <w:tab/>
        <w:tab/>
        <w:tab/>
        <w:t>проф. др Борис Пендељ</w:t>
        <w:br/>
        <w:tab/>
        <w:tab/>
        <w:tab/>
        <w:tab/>
        <w:tab/>
        <w:tab/>
        <w:tab/>
        <w:t>Филозофски факултет, Београд</w:t>
      </w:r>
    </w:p>
    <w:p>
      <w:pPr>
        <w:pStyle w:val="Normal"/>
        <w:spacing w:lineRule="auto" w:line="276"/>
        <w:ind w:firstLine="720"/>
        <w:jc w:val="right"/>
        <w:rPr>
          <w:lang w:val="sr-Latn-RS"/>
        </w:rPr>
      </w:pPr>
      <w:r>
        <w:rPr>
          <w:lang w:val="sr-Latn-RS"/>
        </w:rPr>
      </w:r>
    </w:p>
    <w:p>
      <w:pPr>
        <w:pStyle w:val="Normal"/>
        <w:spacing w:lineRule="auto" w:line="276"/>
        <w:ind w:firstLine="720"/>
        <w:jc w:val="right"/>
        <w:rPr>
          <w:lang w:val="sr-Latn-RS"/>
        </w:rPr>
      </w:pPr>
      <w:r>
        <w:rPr>
          <w:lang w:val="sr-Latn-RS"/>
        </w:rPr>
      </w:r>
    </w:p>
    <w:p>
      <w:pPr>
        <w:pStyle w:val="Normal"/>
        <w:spacing w:lineRule="auto" w:line="276"/>
        <w:ind w:firstLine="720"/>
        <w:jc w:val="right"/>
        <w:rPr>
          <w:lang w:val="sr-Latn-RS"/>
        </w:rPr>
      </w:pPr>
      <w:r>
        <w:rPr>
          <w:lang w:val="sr-Latn-RS"/>
        </w:rPr>
        <w:tab/>
        <w:tab/>
        <w:tab/>
        <w:tab/>
        <w:tab/>
        <w:tab/>
        <w:tab/>
        <w:t>др Драгана Николић,</w:t>
        <w:br/>
        <w:tab/>
        <w:tab/>
        <w:tab/>
        <w:tab/>
        <w:tab/>
        <w:tab/>
        <w:tab/>
        <w:t>виши научни сарадник,</w:t>
        <w:br/>
        <w:tab/>
        <w:tab/>
        <w:tab/>
        <w:tab/>
        <w:tab/>
        <w:tab/>
        <w:tab/>
        <w:t>Балканолошки институт, Београд</w:t>
      </w:r>
    </w:p>
    <w:sectPr>
      <w:type w:val="nextPage"/>
      <w:pgSz w:w="12240" w:h="15840"/>
      <w:pgMar w:left="1440" w:right="1440" w:gutter="0" w:header="0" w:top="270" w:footer="0" w:bottom="450"/>
      <w:pgNumType w:fmt="decimal"/>
      <w:formProt w:val="false"/>
      <w:textDirection w:val="lrTb"/>
      <w:rtlGutter/>
      <w:docGrid w:type="default" w:linePitch="360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  <w:embedRegular r:id="rId1" w:fontKey="{01014A78-CABC-4EF0-12AC-5CD89AEFDE01}"/>
    <w:embedBold r:id="rId2" w:fontKey="{02014A78-CABC-4EF0-12AC-5CD89AEFDE02}"/>
    <w:embedItalic r:id="rId3" w:fontKey="{03014A78-CABC-4EF0-12AC-5CD89AEFDE03}"/>
    <w:embedBoldItalic r:id="rId4" w:fontKey="{04014A78-CABC-4EF0-12AC-5CD89AEFDE04}"/>
  </w:font>
  <w:font w:name="Symbol">
    <w:charset w:val="02"/>
    <w:family w:val="roman"/>
    <w:pitch w:val="variable"/>
    <w:embedRegular r:id="rId5" w:fontKey="{05014A78-CABC-4EF0-12AC-5CD89AEFDE05}"/>
  </w:font>
  <w:font w:name="Arial">
    <w:charset w:val="00"/>
    <w:family w:val="swiss"/>
    <w:pitch w:val="variable"/>
    <w:embedRegular r:id="rId6" w:fontKey="{06014A78-CABC-4EF0-12AC-5CD89AEFDE06}"/>
    <w:embedBold r:id="rId7" w:fontKey="{07014A78-CABC-4EF0-12AC-5CD89AEFDE07}"/>
    <w:embedItalic r:id="rId8" w:fontKey="{08014A78-CABC-4EF0-12AC-5CD89AEFDE08}"/>
    <w:embedBoldItalic r:id="rId9" w:fontKey="{09014A78-CABC-4EF0-12AC-5CD89AEFDE09}"/>
  </w:font>
  <w:font w:name="Liberation Serif">
    <w:altName w:val="Times New Roman"/>
    <w:charset w:val="00"/>
    <w:family w:val="roman"/>
    <w:pitch w:val="variable"/>
    <w:embedRegular r:id="rId10" w:fontKey="{0A014A78-CABC-4EF0-12AC-5CD89AEFDE0A}"/>
    <w:embedBold r:id="rId11" w:fontKey="{0B014A78-CABC-4EF0-12AC-5CD89AEFDE0B}"/>
    <w:embedItalic r:id="rId12" w:fontKey="{0C014A78-CABC-4EF0-12AC-5CD89AEFDE0C}"/>
    <w:embedBoldItalic r:id="rId13" w:fontKey="{0D014A78-CABC-4EF0-12AC-5CD89AEFDE0D}"/>
  </w:font>
  <w:font w:name="Calibri">
    <w:charset w:val="00"/>
    <w:family w:val="swiss"/>
    <w:pitch w:val="variable"/>
    <w:embedRegular r:id="rId14" w:fontKey="{0E014A78-CABC-4EF0-12AC-5CD89AEFDE0E}"/>
    <w:embedBold r:id="rId15" w:fontKey="{0F014A78-CABC-4EF0-12AC-5CD89AEFDE0F}"/>
    <w:embedItalic r:id="rId16" w:fontKey="{10014A78-CABC-4EF0-12AC-5CD89AEFDE10}"/>
    <w:embedBoldItalic r:id="rId17" w:fontKey="{11014A78-CABC-4EF0-12AC-5CD89AEFDE11}"/>
  </w:font>
  <w:font w:name="Segoe UI">
    <w:charset w:val="00"/>
    <w:family w:val="swiss"/>
    <w:pitch w:val="variable"/>
    <w:embedRegular r:id="rId18" w:fontKey="{12014A78-CABC-4EF0-12AC-5CD89AEFDE12}"/>
    <w:embedBold r:id="rId19" w:fontKey="{13014A78-CABC-4EF0-12AC-5CD89AEFDE13}"/>
    <w:embedItalic r:id="rId20" w:fontKey="{14014A78-CABC-4EF0-12AC-5CD89AEFDE14}"/>
    <w:embedBoldItalic r:id="rId21" w:fontKey="{15014A78-CABC-4EF0-12AC-5CD89AEFDE15}"/>
  </w:font>
  <w:font w:name="Liberation Sans">
    <w:altName w:val="Arial"/>
    <w:charset w:val="00"/>
    <w:family w:val="swiss"/>
    <w:pitch w:val="variable"/>
    <w:embedRegular r:id="rId22" w:fontKey="{16014A78-CABC-4EF0-12AC-5CD89AEFDE16}"/>
    <w:embedBold r:id="rId23" w:fontKey="{17014A78-CABC-4EF0-12AC-5CD89AEFDE17}"/>
    <w:embedItalic r:id="rId24" w:fontKey="{18014A78-CABC-4EF0-12AC-5CD89AEFDE18}"/>
    <w:embedBoldItalic r:id="rId25" w:fontKey="{19014A78-CABC-4EF0-12AC-5CD89AEFDE19}"/>
  </w:font>
</w:fonts>
</file>

<file path=word/settings.xml><?xml version="1.0" encoding="utf-8"?>
<w:settings xmlns:w="http://schemas.openxmlformats.org/wordprocessingml/2006/main">
  <w:zoom w:percent="100"/>
  <w:embedTrueTypeFonts/>
  <w:defaultTabStop w:val="720"/>
  <w:autoHyphenation w:val="true"/>
  <w:hyphenationZone w:val="0"/>
  <w:compat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themeFontLang w:val="en-US" w:eastAsia="" w:bidi="sa-IN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Calibri" w:cs="Times New Roman"/>
        <w:lang w:val="en-150" w:eastAsia="en-150" w:bidi="ar-SA"/>
      </w:rPr>
    </w:rPrDefault>
    <w:pPrDefault>
      <w:pPr>
        <w:suppressAutoHyphens w:val="true"/>
      </w:pPr>
    </w:pPrDefault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uiPriority="0" w:semiHidden="1" w:unhideWhenUsed="1" w:qFormat="1"/>
    <w:lsdException w:name="heading 3" w:locked="1" w:uiPriority="0" w:semiHidden="1" w:unhideWhenUsed="1" w:qFormat="1"/>
    <w:lsdException w:name="heading 4" w:locked="1" w:uiPriority="0" w:semiHidden="1" w:unhideWhenUsed="1" w:qFormat="1"/>
    <w:lsdException w:name="heading 5" w:locked="1" w:uiPriority="0" w:semiHidden="1" w:unhideWhenUsed="1" w:qFormat="1"/>
    <w:lsdException w:name="heading 6" w:locked="1" w:uiPriority="0" w:semiHidden="1" w:unhideWhenUsed="1" w:qFormat="1"/>
    <w:lsdException w:name="heading 7" w:locked="1" w:uiPriority="0" w:semiHidden="1" w:unhideWhenUsed="1" w:qFormat="1"/>
    <w:lsdException w:name="heading 8" w:locked="1" w:uiPriority="0" w:semiHidden="1" w:unhideWhenUsed="1" w:qFormat="1"/>
    <w:lsdException w:name="heading 9" w:locked="1" w:uiPriority="0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locked="1" w:uiPriority="0"/>
    <w:lsdException w:name="footer" w:semiHidden="1" w:unhideWhenUsed="1"/>
    <w:lsdException w:name="index heading" w:semiHidden="1" w:unhideWhenUsed="1"/>
    <w:lsdException w:name="caption" w:locked="1" w:uiPriority="0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013023"/>
    <w:pPr>
      <w:widowControl/>
      <w:suppressAutoHyphens w:val="true"/>
      <w:bidi w:val="0"/>
      <w:spacing w:before="0" w:after="0"/>
      <w:jc w:val="left"/>
    </w:pPr>
    <w:rPr>
      <w:rFonts w:ascii="Times New Roman" w:hAnsi="Times New Roman" w:eastAsia="Times New Roman" w:cs="Times New Roman"/>
      <w:color w:val="auto"/>
      <w:kern w:val="0"/>
      <w:sz w:val="24"/>
      <w:szCs w:val="24"/>
      <w:lang w:val="en-US" w:eastAsia="en-US" w:bidi="ar-SA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BalloonTextChar" w:customStyle="1">
    <w:name w:val="Balloon Text Char"/>
    <w:link w:val="BalloonText"/>
    <w:uiPriority w:val="99"/>
    <w:semiHidden/>
    <w:qFormat/>
    <w:locked/>
    <w:rsid w:val="00013023"/>
    <w:rPr>
      <w:rFonts w:ascii="Segoe UI" w:hAnsi="Segoe UI" w:cs="Segoe UI"/>
      <w:sz w:val="18"/>
      <w:szCs w:val="18"/>
    </w:rPr>
  </w:style>
  <w:style w:type="character" w:styleId="HeaderChar" w:customStyle="1">
    <w:name w:val="Header Char"/>
    <w:link w:val="Header"/>
    <w:uiPriority w:val="99"/>
    <w:semiHidden/>
    <w:qFormat/>
    <w:locked/>
    <w:rsid w:val="00597884"/>
    <w:rPr>
      <w:rFonts w:ascii="Arial" w:hAnsi="Arial" w:cs="Times New Roman"/>
      <w:sz w:val="20"/>
      <w:szCs w:val="20"/>
    </w:rPr>
  </w:style>
  <w:style w:type="character" w:styleId="Bodytext22" w:customStyle="1">
    <w:name w:val="Body text (2)2"/>
    <w:uiPriority w:val="99"/>
    <w:qFormat/>
    <w:rsid w:val="00597884"/>
    <w:rPr>
      <w:rFonts w:ascii="Calibri" w:hAnsi="Calibri"/>
      <w:color w:val="000000"/>
      <w:spacing w:val="0"/>
      <w:w w:val="100"/>
      <w:sz w:val="22"/>
    </w:rPr>
  </w:style>
  <w:style w:type="character" w:styleId="Bodytext2Exact5" w:customStyle="1">
    <w:name w:val="Body text (2) Exact5"/>
    <w:uiPriority w:val="99"/>
    <w:qFormat/>
    <w:rsid w:val="00597884"/>
    <w:rPr>
      <w:rFonts w:ascii="Calibri" w:hAnsi="Calibri"/>
      <w:color w:val="000000"/>
      <w:spacing w:val="0"/>
      <w:w w:val="100"/>
      <w:sz w:val="22"/>
      <w:u w:val="none"/>
      <w:effect w:val="none"/>
    </w:rPr>
  </w:style>
  <w:style w:type="character" w:styleId="Bodytext2Exact6" w:customStyle="1">
    <w:name w:val="Body text (2) Exact6"/>
    <w:uiPriority w:val="99"/>
    <w:qFormat/>
    <w:rsid w:val="00597884"/>
    <w:rPr>
      <w:rFonts w:ascii="Calibri" w:hAnsi="Calibri"/>
      <w:color w:val="000000"/>
      <w:spacing w:val="0"/>
      <w:w w:val="100"/>
      <w:sz w:val="22"/>
      <w:u w:val="single"/>
    </w:rPr>
  </w:style>
  <w:style w:type="paragraph" w:styleId="Heading" w:customStyle="1">
    <w:name w:val="Heading"/>
    <w:basedOn w:val="Normal"/>
    <w:next w:val="BodyText"/>
    <w:qFormat/>
    <w:pPr>
      <w:keepNext w:val="true"/>
      <w:spacing w:before="240" w:after="120"/>
    </w:pPr>
    <w:rPr>
      <w:rFonts w:ascii="Liberation Sans" w:hAnsi="Liberation Sans" w:eastAsia="Microsoft YaHei" w:cs="Lucida Sans"/>
      <w:sz w:val="28"/>
      <w:szCs w:val="28"/>
    </w:rPr>
  </w:style>
  <w:style w:type="paragraph" w:styleId="BodyText">
    <w:name w:val="Body Text"/>
    <w:basedOn w:val="Normal"/>
    <w:pPr>
      <w:spacing w:lineRule="auto" w:line="276" w:before="0" w:after="140"/>
    </w:pPr>
    <w:rPr/>
  </w:style>
  <w:style w:type="paragraph" w:styleId="List">
    <w:name w:val="List"/>
    <w:basedOn w:val="BodyText"/>
    <w:pPr/>
    <w:rPr>
      <w:rFonts w:cs="Lucida Sans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Lucida Sans"/>
      <w:i/>
      <w:iCs/>
    </w:rPr>
  </w:style>
  <w:style w:type="paragraph" w:styleId="Index" w:customStyle="1">
    <w:name w:val="Index"/>
    <w:basedOn w:val="Normal"/>
    <w:qFormat/>
    <w:pPr>
      <w:suppressLineNumbers/>
    </w:pPr>
    <w:rPr>
      <w:rFonts w:cs="Lucida Sans"/>
    </w:rPr>
  </w:style>
  <w:style w:type="paragraph" w:styleId="ListParagraph">
    <w:name w:val="List Paragraph"/>
    <w:basedOn w:val="Normal"/>
    <w:uiPriority w:val="99"/>
    <w:qFormat/>
    <w:rsid w:val="00013023"/>
    <w:pPr>
      <w:spacing w:lineRule="auto" w:line="314" w:before="0" w:after="4"/>
      <w:ind w:firstLine="528" w:left="720"/>
      <w:contextualSpacing/>
      <w:jc w:val="both"/>
    </w:pPr>
    <w:rPr>
      <w:color w:val="000000"/>
      <w:sz w:val="22"/>
      <w:szCs w:val="22"/>
    </w:rPr>
  </w:style>
  <w:style w:type="paragraph" w:styleId="BalloonText">
    <w:name w:val="Balloon Text"/>
    <w:basedOn w:val="Normal"/>
    <w:link w:val="BalloonTextChar"/>
    <w:uiPriority w:val="99"/>
    <w:semiHidden/>
    <w:qFormat/>
    <w:rsid w:val="00013023"/>
    <w:pPr/>
    <w:rPr>
      <w:rFonts w:ascii="Segoe UI" w:hAnsi="Segoe UI" w:cs="Segoe UI"/>
      <w:sz w:val="18"/>
      <w:szCs w:val="18"/>
    </w:rPr>
  </w:style>
  <w:style w:type="paragraph" w:styleId="HeaderandFooter" w:customStyle="1">
    <w:name w:val="Header and Footer"/>
    <w:basedOn w:val="Normal"/>
    <w:qFormat/>
    <w:pPr/>
    <w:rPr/>
  </w:style>
  <w:style w:type="paragraph" w:styleId="Header">
    <w:name w:val="header"/>
    <w:basedOn w:val="Normal"/>
    <w:link w:val="HeaderChar"/>
    <w:uiPriority w:val="99"/>
    <w:semiHidden/>
    <w:rsid w:val="00597884"/>
    <w:pPr>
      <w:tabs>
        <w:tab w:val="clear" w:pos="720"/>
        <w:tab w:val="left" w:pos="1800" w:leader="none"/>
      </w:tabs>
      <w:jc w:val="center"/>
    </w:pPr>
    <w:rPr>
      <w:rFonts w:ascii="Arial" w:hAnsi="Arial"/>
      <w:sz w:val="22"/>
      <w:szCs w:val="20"/>
    </w:rPr>
  </w:style>
  <w:style w:type="paragraph" w:styleId="ColorfulList-Accent11" w:customStyle="1">
    <w:name w:val="Colorful List - Accent 11"/>
    <w:basedOn w:val="Normal"/>
    <w:uiPriority w:val="99"/>
    <w:qFormat/>
    <w:rsid w:val="00201f03"/>
    <w:pPr>
      <w:spacing w:before="0" w:after="0"/>
      <w:ind w:firstLine="720" w:left="720"/>
      <w:contextualSpacing/>
      <w:jc w:val="both"/>
    </w:pPr>
    <w:rPr>
      <w:rFonts w:ascii="Arial" w:hAnsi="Arial" w:cs="Arial"/>
      <w:bCs/>
      <w:kern w:val="2"/>
    </w:rPr>
  </w:style>
  <w:style w:type="paragraph" w:styleId="Default" w:customStyle="1">
    <w:name w:val="Default"/>
    <w:uiPriority w:val="99"/>
    <w:qFormat/>
    <w:rsid w:val="0097617a"/>
    <w:pPr>
      <w:widowControl/>
      <w:suppressAutoHyphens w:val="true"/>
      <w:bidi w:val="0"/>
      <w:spacing w:before="0" w:after="0"/>
      <w:jc w:val="left"/>
    </w:pPr>
    <w:rPr>
      <w:rFonts w:ascii="Times New Roman" w:hAnsi="Times New Roman" w:eastAsia="Calibri" w:cs="Times New Roman"/>
      <w:color w:val="000000"/>
      <w:kern w:val="0"/>
      <w:sz w:val="24"/>
      <w:szCs w:val="24"/>
      <w:lang w:val="en-US" w:eastAsia="en-US" w:bidi="ar-SA"/>
    </w:rPr>
  </w:style>
  <w:style w:type="numbering" w:styleId="NoList" w:default="1">
    <w:name w:val="No List"/>
    <w:uiPriority w:val="99"/>
    <w:semiHidden/>
    <w:unhideWhenUsed/>
    <w:qFormat/>
  </w:style>
  <w:style w:type="table" w:default="1" w:styleId="TableNormal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settings" Target="settings.xml"/><Relationship Id="rId4" Type="http://schemas.openxmlformats.org/officeDocument/2006/relationships/theme" Target="theme/theme1.xml"/>
</Relationships>
</file>

<file path=word/_rels/fontTable.xml.rels><?xml version="1.0" encoding="UTF-8"?>
<Relationships xmlns="http://schemas.openxmlformats.org/package/2006/relationships"><Relationship Id="rId1" Type="http://schemas.openxmlformats.org/officeDocument/2006/relationships/font" Target="fonts/font1.odttf"/><Relationship Id="rId2" Type="http://schemas.openxmlformats.org/officeDocument/2006/relationships/font" Target="fonts/font2.odttf"/><Relationship Id="rId3" Type="http://schemas.openxmlformats.org/officeDocument/2006/relationships/font" Target="fonts/font3.odttf"/><Relationship Id="rId4" Type="http://schemas.openxmlformats.org/officeDocument/2006/relationships/font" Target="fonts/font4.odttf"/><Relationship Id="rId5" Type="http://schemas.openxmlformats.org/officeDocument/2006/relationships/font" Target="fonts/font5.odttf"/><Relationship Id="rId6" Type="http://schemas.openxmlformats.org/officeDocument/2006/relationships/font" Target="fonts/font6.odttf"/><Relationship Id="rId7" Type="http://schemas.openxmlformats.org/officeDocument/2006/relationships/font" Target="fonts/font7.odttf"/><Relationship Id="rId8" Type="http://schemas.openxmlformats.org/officeDocument/2006/relationships/font" Target="fonts/font8.odttf"/><Relationship Id="rId9" Type="http://schemas.openxmlformats.org/officeDocument/2006/relationships/font" Target="fonts/font9.odttf"/><Relationship Id="rId10" Type="http://schemas.openxmlformats.org/officeDocument/2006/relationships/font" Target="fonts/font10.odttf"/><Relationship Id="rId11" Type="http://schemas.openxmlformats.org/officeDocument/2006/relationships/font" Target="fonts/font11.odttf"/><Relationship Id="rId12" Type="http://schemas.openxmlformats.org/officeDocument/2006/relationships/font" Target="fonts/font12.odttf"/><Relationship Id="rId13" Type="http://schemas.openxmlformats.org/officeDocument/2006/relationships/font" Target="fonts/font13.odttf"/><Relationship Id="rId14" Type="http://schemas.openxmlformats.org/officeDocument/2006/relationships/font" Target="fonts/font14.odttf"/><Relationship Id="rId15" Type="http://schemas.openxmlformats.org/officeDocument/2006/relationships/font" Target="fonts/font15.odttf"/><Relationship Id="rId16" Type="http://schemas.openxmlformats.org/officeDocument/2006/relationships/font" Target="fonts/font16.odttf"/><Relationship Id="rId17" Type="http://schemas.openxmlformats.org/officeDocument/2006/relationships/font" Target="fonts/font17.odttf"/><Relationship Id="rId18" Type="http://schemas.openxmlformats.org/officeDocument/2006/relationships/font" Target="fonts/font18.odttf"/><Relationship Id="rId19" Type="http://schemas.openxmlformats.org/officeDocument/2006/relationships/font" Target="fonts/font19.odttf"/><Relationship Id="rId20" Type="http://schemas.openxmlformats.org/officeDocument/2006/relationships/font" Target="fonts/font20.odttf"/><Relationship Id="rId21" Type="http://schemas.openxmlformats.org/officeDocument/2006/relationships/font" Target="fonts/font21.odttf"/><Relationship Id="rId22" Type="http://schemas.openxmlformats.org/officeDocument/2006/relationships/font" Target="fonts/font22.odttf"/><Relationship Id="rId23" Type="http://schemas.openxmlformats.org/officeDocument/2006/relationships/font" Target="fonts/font23.odttf"/><Relationship Id="rId24" Type="http://schemas.openxmlformats.org/officeDocument/2006/relationships/font" Target="fonts/font24.odttf"/><Relationship Id="rId25" Type="http://schemas.openxmlformats.org/officeDocument/2006/relationships/font" Target="fonts/font25.odttf"/>
</Relationships>
</file>

<file path=word/theme/theme1.xml><?xml version="1.0" encoding="utf-8"?>
<a:theme xmlns:a="http://schemas.openxmlformats.org/drawingml/2006/main" xmlns:r="http://schemas.openxmlformats.org/officeDocument/2006/relationships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 pitchFamily="0" charset="1"/>
        <a:ea typeface=""/>
        <a:cs typeface=""/>
      </a:majorFont>
      <a:minorFont>
        <a:latin typeface="Calibri" pitchFamily="0" charset="1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 l="0" t="0" r="0" b="0"/>
        </a:gradFill>
        <a:gradFill>
          <a:gsLst>
            <a:gs pos="0">
              <a:schemeClr val="phClr">
                <a:shade val="51000"/>
              </a:schemeClr>
            </a:gs>
            <a:gs pos="80000">
              <a:schemeClr val="phClr">
                <a:shade val="93000"/>
              </a:schemeClr>
            </a:gs>
            <a:gs pos="100000">
              <a:schemeClr val="phClr">
                <a:shade val="94000"/>
              </a:schemeClr>
            </a:gs>
          </a:gsLst>
          <a:lin ang="16200000" scaled="0"/>
          <a:tileRect l="0" t="0" r="0" b="0"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 l="0" t="0" r="0" b="0"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 l="0" t="0" r="0" b="0"/>
        </a:gradFill>
      </a:bgFillStyleLst>
    </a:fmtScheme>
  </a:themeElements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Application>LibreOffice/25.8.5.2$Windows_X86_64 LibreOffice_project/9c8b85f387cc00a89945a79c9e6239f32e450ac2</Application>
  <AppVersion>15.0000</AppVersion>
  <Pages>4</Pages>
  <Words>964</Words>
  <Characters>5357</Characters>
  <CharactersWithSpaces>6263</CharactersWithSpaces>
  <Paragraphs>123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2024-05-21T07:28:00Z</dcterms:created>
  <dc:creator>Vanja Radulovic</dc:creator>
  <dc:description/>
  <dc:language>en-GB</dc:language>
  <cp:lastModifiedBy/>
  <cp:lastPrinted>2024-05-21T09:29:00Z</cp:lastPrinted>
  <dcterms:modified xsi:type="dcterms:W3CDTF">2026-04-29T21:05:58Z</dcterms:modified>
  <cp:revision>11</cp:revision>
  <dc:subject/>
  <dc:title>Образац 3Г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